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API服务改造项目需求规格说明书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PRD-API-2026-001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已批准</w:t>
            </w:r>
          </w:p>
        </w:tc>
      </w:tr>
      <w:tr>
        <w:tc>
          <w:tcPr>
            <w:tcW w:type="dxa" w:w="4320"/>
          </w:tcPr>
          <w:p>
            <w:r>
              <w:t>保密级别</w:t>
            </w:r>
          </w:p>
        </w:tc>
        <w:tc>
          <w:tcPr>
            <w:tcW w:type="dxa" w:w="4320"/>
          </w:tcPr>
          <w:p>
            <w:r>
              <w:t>内部使用</w:t>
            </w:r>
          </w:p>
        </w:tc>
      </w:tr>
    </w:tbl>
    <w:p/>
    <w:p>
      <w:pPr>
        <w:pStyle w:val="Heading2"/>
      </w:pPr>
      <w:r>
        <w:t>第一章 项目概述</w:t>
      </w:r>
    </w:p>
    <w:p>
      <w:pPr>
        <w:pStyle w:val="Heading3"/>
      </w:pPr>
      <w:r>
        <w:t>1.1 项目背景</w:t>
      </w:r>
    </w:p>
    <w:p>
      <w:r>
        <w:t>本项目旨在将现有的课程项目代码仓库改造成可对外交付的商业化API服务产品。随着产品化需求的明确，需要建立完整的API服务体系，包括用户认证、权限管理、业务接口、管理后台、监控运维等能力，以支撑未来的商业化运营。</w:t>
      </w:r>
    </w:p>
    <w:p>
      <w:pPr>
        <w:pStyle w:val="Heading3"/>
      </w:pPr>
      <w:r>
        <w:t>1.2 项目目标</w:t>
      </w:r>
    </w:p>
    <w:p>
      <w:r>
        <w:t>**总体目标**：在12周内完成从代码仓库到可交付API服务产品的改造，建立完整的运营支撑体系。</w:t>
      </w:r>
    </w:p>
    <w:p>
      <w:r>
        <w:t>**具体目标**：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OBJ-001</w:t>
            </w:r>
          </w:p>
        </w:tc>
        <w:tc>
          <w:tcPr>
            <w:tcW w:type="dxa" w:w="2880"/>
          </w:tcPr>
          <w:p>
            <w:r>
              <w:t>完成代码仓库Docker容器化</w:t>
            </w:r>
          </w:p>
        </w:tc>
        <w:tc>
          <w:tcPr>
            <w:tcW w:type="dxa" w:w="2880"/>
          </w:tcPr>
          <w:p>
            <w:r>
              <w:t>镜像构建成功率100%</w:t>
            </w:r>
          </w:p>
        </w:tc>
      </w:tr>
      <w:tr>
        <w:tc>
          <w:tcPr>
            <w:tcW w:type="dxa" w:w="2880"/>
          </w:tcPr>
          <w:p>
            <w:r>
              <w:t>OBJ-002</w:t>
            </w:r>
          </w:p>
        </w:tc>
        <w:tc>
          <w:tcPr>
            <w:tcW w:type="dxa" w:w="2880"/>
          </w:tcPr>
          <w:p>
            <w:r>
              <w:t>实现标准化的API服务体系</w:t>
            </w:r>
          </w:p>
        </w:tc>
        <w:tc>
          <w:tcPr>
            <w:tcW w:type="dxa" w:w="2880"/>
          </w:tcPr>
          <w:p>
            <w:r>
              <w:t>支持JWT+API Key双认证</w:t>
            </w:r>
          </w:p>
        </w:tc>
      </w:tr>
      <w:tr>
        <w:tc>
          <w:tcPr>
            <w:tcW w:type="dxa" w:w="2880"/>
          </w:tcPr>
          <w:p>
            <w:r>
              <w:t>OBJ-003</w:t>
            </w:r>
          </w:p>
        </w:tc>
        <w:tc>
          <w:tcPr>
            <w:tcW w:type="dxa" w:w="2880"/>
          </w:tcPr>
          <w:p>
            <w:r>
              <w:t>建立完整的部署架构</w:t>
            </w:r>
          </w:p>
        </w:tc>
        <w:tc>
          <w:tcPr>
            <w:tcW w:type="dxa" w:w="2880"/>
          </w:tcPr>
          <w:p>
            <w:r>
              <w:t>支持Docker Compose一键部署</w:t>
            </w:r>
          </w:p>
        </w:tc>
      </w:tr>
      <w:tr>
        <w:tc>
          <w:tcPr>
            <w:tcW w:type="dxa" w:w="2880"/>
          </w:tcPr>
          <w:p>
            <w:r>
              <w:t>OBJ-004</w:t>
            </w:r>
          </w:p>
        </w:tc>
        <w:tc>
          <w:tcPr>
            <w:tcW w:type="dxa" w:w="2880"/>
          </w:tcPr>
          <w:p>
            <w:r>
              <w:t>开发管理后台</w:t>
            </w:r>
          </w:p>
        </w:tc>
        <w:tc>
          <w:tcPr>
            <w:tcW w:type="dxa" w:w="2880"/>
          </w:tcPr>
          <w:p>
            <w:r>
              <w:t>支持租户、API Key、统计管理</w:t>
            </w:r>
          </w:p>
        </w:tc>
      </w:tr>
      <w:tr>
        <w:tc>
          <w:tcPr>
            <w:tcW w:type="dxa" w:w="2880"/>
          </w:tcPr>
          <w:p>
            <w:r>
              <w:t>OBJ-005</w:t>
            </w:r>
          </w:p>
        </w:tc>
        <w:tc>
          <w:tcPr>
            <w:tcW w:type="dxa" w:w="2880"/>
          </w:tcPr>
          <w:p>
            <w:r>
              <w:t>交付完整文档体系</w:t>
            </w:r>
          </w:p>
        </w:tc>
        <w:tc>
          <w:tcPr>
            <w:tcW w:type="dxa" w:w="2880"/>
          </w:tcPr>
          <w:p>
            <w:r>
              <w:t>部署文档、API文档、运维手册</w:t>
            </w:r>
          </w:p>
        </w:tc>
      </w:tr>
      <w:tr>
        <w:tc>
          <w:tcPr>
            <w:tcW w:type="dxa" w:w="2880"/>
          </w:tcPr>
          <w:p>
            <w:r>
              <w:t>OBJ-006</w:t>
            </w:r>
          </w:p>
        </w:tc>
        <w:tc>
          <w:tcPr>
            <w:tcW w:type="dxa" w:w="2880"/>
          </w:tcPr>
          <w:p>
            <w:r>
              <w:t>通过验收测试</w:t>
            </w:r>
          </w:p>
        </w:tc>
        <w:tc>
          <w:tcPr>
            <w:tcW w:type="dxa" w:w="2880"/>
          </w:tcPr>
          <w:p>
            <w:r>
              <w:t>测试覆盖率&gt;=70%，P0用例100%通过</w:t>
            </w:r>
          </w:p>
        </w:tc>
      </w:tr>
    </w:tbl>
    <w:p>
      <w:pPr>
        <w:pStyle w:val="Heading3"/>
      </w:pPr>
      <w:r>
        <w:t>1.3 项目范围</w:t>
      </w:r>
    </w:p>
    <w:p>
      <w:r>
        <w:t>**纳入范围**：</w:t>
      </w:r>
    </w:p>
    <w:p>
      <w:pPr>
        <w:pStyle w:val="ListBullet"/>
      </w:pPr>
      <w:r>
        <w:t>现有代码仓库的Docker容器化改造</w:t>
      </w:r>
    </w:p>
    <w:p>
      <w:pPr>
        <w:pStyle w:val="ListBullet"/>
      </w:pPr>
      <w:r>
        <w:t>用户认证模块（JWT）</w:t>
      </w:r>
    </w:p>
    <w:p>
      <w:pPr>
        <w:pStyle w:val="ListBullet"/>
      </w:pPr>
      <w:r>
        <w:t>API Key管理与鉴权</w:t>
      </w:r>
    </w:p>
    <w:p>
      <w:pPr>
        <w:pStyle w:val="ListBullet"/>
      </w:pPr>
      <w:r>
        <w:t>核心业务API接口</w:t>
      </w:r>
    </w:p>
    <w:p>
      <w:pPr>
        <w:pStyle w:val="ListBullet"/>
      </w:pPr>
      <w:r>
        <w:t>Nginx反向代理网关</w:t>
      </w:r>
    </w:p>
    <w:p>
      <w:pPr>
        <w:pStyle w:val="ListBullet"/>
      </w:pPr>
      <w:r>
        <w:t>PostgreSQL数据库集成</w:t>
      </w:r>
    </w:p>
    <w:p>
      <w:pPr>
        <w:pStyle w:val="ListBullet"/>
      </w:pPr>
      <w:r>
        <w:t>Redis缓存集成</w:t>
      </w:r>
    </w:p>
    <w:p>
      <w:pPr>
        <w:pStyle w:val="ListBullet"/>
      </w:pPr>
      <w:r>
        <w:t>MinIO对象存储集成</w:t>
      </w:r>
    </w:p>
    <w:p>
      <w:pPr>
        <w:pStyle w:val="ListBullet"/>
      </w:pPr>
      <w:r>
        <w:t>管理后台开发</w:t>
      </w:r>
    </w:p>
    <w:p>
      <w:pPr>
        <w:pStyle w:val="ListBullet"/>
      </w:pPr>
      <w:r>
        <w:t>部署架构设计与实施</w:t>
      </w:r>
    </w:p>
    <w:p>
      <w:pPr>
        <w:pStyle w:val="ListBullet"/>
      </w:pPr>
      <w:r>
        <w:t>文档体系建设</w:t>
      </w:r>
    </w:p>
    <w:p>
      <w:r>
        <w:t>**不纳入范围**：</w:t>
      </w:r>
    </w:p>
    <w:p>
      <w:pPr>
        <w:pStyle w:val="ListBullet"/>
      </w:pPr>
      <w:r>
        <w:t>原有课程项目业务逻辑的大规模重构</w:t>
      </w:r>
    </w:p>
    <w:p>
      <w:pPr>
        <w:pStyle w:val="ListBullet"/>
      </w:pPr>
      <w:r>
        <w:t>移动端应用开发</w:t>
      </w:r>
    </w:p>
    <w:p>
      <w:pPr>
        <w:pStyle w:val="ListBullet"/>
      </w:pPr>
      <w:r>
        <w:t>多语言国际化</w:t>
      </w:r>
    </w:p>
    <w:p>
      <w:pPr>
        <w:pStyle w:val="ListBullet"/>
      </w:pPr>
      <w:r>
        <w:t>高端商业功能（如计费结算）</w:t>
      </w:r>
    </w:p>
    <w:p/>
    <w:p>
      <w:pPr>
        <w:pStyle w:val="Heading2"/>
      </w:pPr>
      <w:r>
        <w:t>第二章 业务需求详述</w:t>
      </w:r>
    </w:p>
    <w:p>
      <w:pPr>
        <w:pStyle w:val="Heading3"/>
      </w:pPr>
      <w:r>
        <w:t>2.1 用户角色分析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API调用方</w:t>
            </w:r>
          </w:p>
        </w:tc>
        <w:tc>
          <w:tcPr>
            <w:tcW w:type="dxa" w:w="2880"/>
          </w:tcPr>
          <w:p>
            <w:r>
              <w:t>使用API服务的外部开发者或系统</w:t>
            </w:r>
          </w:p>
        </w:tc>
        <w:tc>
          <w:tcPr>
            <w:tcW w:type="dxa" w:w="2880"/>
          </w:tcPr>
          <w:p>
            <w:r>
              <w:t>注册、申请Key、调用API、查看使用统计</w:t>
            </w:r>
          </w:p>
        </w:tc>
      </w:tr>
      <w:tr>
        <w:tc>
          <w:tcPr>
            <w:tcW w:type="dxa" w:w="2880"/>
          </w:tcPr>
          <w:p>
            <w:r>
              <w:t>租户管理员</w:t>
            </w:r>
          </w:p>
        </w:tc>
        <w:tc>
          <w:tcPr>
            <w:tcW w:type="dxa" w:w="2880"/>
          </w:tcPr>
          <w:p>
            <w:r>
              <w:t>管理租户内的用户和资源</w:t>
            </w:r>
          </w:p>
        </w:tc>
        <w:tc>
          <w:tcPr>
            <w:tcW w:type="dxa" w:w="2880"/>
          </w:tcPr>
          <w:p>
            <w:r>
              <w:t>租户用户管理、Key分配、权限配置</w:t>
            </w:r>
          </w:p>
        </w:tc>
      </w:tr>
      <w:tr>
        <w:tc>
          <w:tcPr>
            <w:tcW w:type="dxa" w:w="2880"/>
          </w:tcPr>
          <w:p>
            <w:r>
              <w:t>系统管理员</w:t>
            </w:r>
          </w:p>
        </w:tc>
        <w:tc>
          <w:tcPr>
            <w:tcW w:type="dxa" w:w="2880"/>
          </w:tcPr>
          <w:p>
            <w:r>
              <w:t>负责整个系统的运维管理</w:t>
            </w:r>
          </w:p>
        </w:tc>
        <w:tc>
          <w:tcPr>
            <w:tcW w:type="dxa" w:w="2880"/>
          </w:tcPr>
          <w:p>
            <w:r>
              <w:t>系统配置、监控查看、问题处理</w:t>
            </w:r>
          </w:p>
        </w:tc>
      </w:tr>
      <w:tr>
        <w:tc>
          <w:tcPr>
            <w:tcW w:type="dxa" w:w="2880"/>
          </w:tcPr>
          <w:p>
            <w:r>
              <w:t>开发者</w:t>
            </w:r>
          </w:p>
        </w:tc>
        <w:tc>
          <w:tcPr>
            <w:tcW w:type="dxa" w:w="2880"/>
          </w:tcPr>
          <w:p>
            <w:r>
              <w:t>进行API调用开发的人员</w:t>
            </w:r>
          </w:p>
        </w:tc>
        <w:tc>
          <w:tcPr>
            <w:tcW w:type="dxa" w:w="2880"/>
          </w:tcPr>
          <w:p>
            <w:r>
              <w:t>阅读文档、测试API、集成开发</w:t>
            </w:r>
          </w:p>
        </w:tc>
      </w:tr>
    </w:tbl>
    <w:p>
      <w:pPr>
        <w:pStyle w:val="Heading3"/>
      </w:pPr>
      <w:r>
        <w:t>2.2 业务场景</w:t>
      </w:r>
    </w:p>
    <w:p>
      <w:r>
        <w:t>**场景一：外部开发者接入**</w:t>
      </w:r>
    </w:p>
    <w:p>
      <w:r>
        <w:t>张三是一名第三方开发者，希望接入本API服务为自己的应用提供能力支持。他首先需要注册账号，申请API Key，然后阅读API文档，在他的应用中集成API调用。系统会记录他的使用量，他可以通过后台查看调用统计。</w:t>
      </w:r>
    </w:p>
    <w:p>
      <w:r>
        <w:t>**场景二：多租户管理**</w:t>
      </w:r>
    </w:p>
    <w:p>
      <w:r>
        <w:t>某企业A购买了API服务，需要给内部多个开发团队分配不同的访问权限。租户管理员可以创建子账号，为每个子账号分配不同的API Key，设置不同的调用配额，实现灵活的权限管理。</w:t>
      </w:r>
    </w:p>
    <w:p>
      <w:r>
        <w:t>**场景三：运营监控**</w:t>
      </w:r>
    </w:p>
    <w:p>
      <w:r>
        <w:t>系统管理员需要实时监控系统运行状态，包括API响应时间、错误率、各租户使用量等。当出现异常时，需要能够快速定位问题，查看相关日志。</w:t>
      </w:r>
    </w:p>
    <w:p>
      <w:pPr>
        <w:pStyle w:val="Heading3"/>
      </w:pPr>
      <w:r>
        <w:t>2.3 业务流程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API服务使用流程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1. 注册/登录                                                       │</w:t>
        <w:br/>
        <w:t>│     填写信息 ──► 验证邮箱 ──► 创建账号 ──► 登录系统                  │</w:t>
        <w:br/>
        <w:t>│                                                                      │</w:t>
        <w:br/>
        <w:t>│  2. API Key申请                                                    │</w:t>
        <w:br/>
        <w:t>│     登录 ──► 进入控制台 ──► 申请API Key ──► 获取Key和Secret        │</w:t>
        <w:br/>
        <w:t>│                                                                      │</w:t>
        <w:br/>
        <w:t>│  3. API调用                                                         │</w:t>
        <w:br/>
        <w:t>│     阅读文档 ──► 获取调用示例 ──► 集成到应用 ──► 调用API            │</w:t>
        <w:br/>
        <w:t>│                                                                      │</w:t>
        <w:br/>
        <w:t>│  4. 使用统计                                                        │</w:t>
        <w:br/>
        <w:t>│     进入控制台 ──► 查看调用统计 ──► 下载报表                        │</w:t>
        <w:br/>
        <w:t>│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第三章 功能需求详述</w:t>
      </w:r>
    </w:p>
    <w:p>
      <w:pPr>
        <w:pStyle w:val="Heading3"/>
      </w:pPr>
      <w:r>
        <w:t>3.1 用户认证模块</w:t>
      </w:r>
    </w:p>
    <w:p>
      <w:r>
        <w:t>**FR-AUTH-001 用户注册**</w:t>
      </w:r>
    </w:p>
    <w:p>
      <w:pPr>
        <w:pStyle w:val="ListBullet"/>
      </w:pPr>
      <w:r>
        <w:t>支持邮箱注册</w:t>
      </w:r>
    </w:p>
    <w:p>
      <w:pPr>
        <w:pStyle w:val="ListBullet"/>
      </w:pPr>
      <w:r>
        <w:t>密码强度校验（至少8位，包含大小写字母和数字）</w:t>
      </w:r>
    </w:p>
    <w:p>
      <w:pPr>
        <w:pStyle w:val="ListBullet"/>
      </w:pPr>
      <w:r>
        <w:t>注册后发送验证邮件</w:t>
      </w:r>
    </w:p>
    <w:p>
      <w:pPr>
        <w:pStyle w:val="ListBullet"/>
      </w:pPr>
      <w:r>
        <w:t>邮箱验证后才可使用</w:t>
      </w:r>
    </w:p>
    <w:p>
      <w:r>
        <w:t>**FR-AUTH-002 用户登录**</w:t>
      </w:r>
    </w:p>
    <w:p>
      <w:pPr>
        <w:pStyle w:val="ListBullet"/>
      </w:pPr>
      <w:r>
        <w:t>邮箱+密码登录</w:t>
      </w:r>
    </w:p>
    <w:p>
      <w:pPr>
        <w:pStyle w:val="ListBullet"/>
      </w:pPr>
      <w:r>
        <w:t>登录失败锁定（连续5次失败锁定30分钟）</w:t>
      </w:r>
    </w:p>
    <w:p>
      <w:pPr>
        <w:pStyle w:val="ListBullet"/>
      </w:pPr>
      <w:r>
        <w:t>JWT Token生成（access_token有效期1小时，refresh_token有效期7天）</w:t>
      </w:r>
    </w:p>
    <w:p>
      <w:r>
        <w:t>**FR-AUTH-003 Token管理**</w:t>
      </w:r>
    </w:p>
    <w:p>
      <w:pPr>
        <w:pStyle w:val="ListBullet"/>
      </w:pPr>
      <w:r>
        <w:t>Token刷新机制</w:t>
      </w:r>
    </w:p>
    <w:p>
      <w:pPr>
        <w:pStyle w:val="ListBullet"/>
      </w:pPr>
      <w:r>
        <w:t>Token撤销功能</w:t>
      </w:r>
    </w:p>
    <w:p>
      <w:pPr>
        <w:pStyle w:val="ListBullet"/>
      </w:pPr>
      <w:r>
        <w:t>多设备登录管理</w:t>
      </w:r>
    </w:p>
    <w:p>
      <w:pPr>
        <w:pStyle w:val="Heading3"/>
      </w:pPr>
      <w:r>
        <w:t>3.2 API Key管理模块</w:t>
      </w:r>
    </w:p>
    <w:p>
      <w:r>
        <w:t>**FR-KEY-001 Key生成**</w:t>
      </w:r>
    </w:p>
    <w:p>
      <w:pPr>
        <w:pStyle w:val="ListBullet"/>
      </w:pPr>
      <w:r>
        <w:t>自动生成32位唯一Key</w:t>
      </w:r>
    </w:p>
    <w:p>
      <w:pPr>
        <w:pStyle w:val="ListBullet"/>
      </w:pPr>
      <w:r>
        <w:t>生成对应Secret用于签名验证</w:t>
      </w:r>
    </w:p>
    <w:p>
      <w:pPr>
        <w:pStyle w:val="ListBullet"/>
      </w:pPr>
      <w:r>
        <w:t>支持自定义Key名称和备注</w:t>
      </w:r>
    </w:p>
    <w:p>
      <w:r>
        <w:t>**FR-KEY-002 Key管理**</w:t>
      </w:r>
    </w:p>
    <w:p>
      <w:pPr>
        <w:pStyle w:val="ListBullet"/>
      </w:pPr>
      <w:r>
        <w:t>查看已申请的Key列表</w:t>
      </w:r>
    </w:p>
    <w:p>
      <w:pPr>
        <w:pStyle w:val="ListBullet"/>
      </w:pPr>
      <w:r>
        <w:t>设置Key的有效期</w:t>
      </w:r>
    </w:p>
    <w:p>
      <w:pPr>
        <w:pStyle w:val="ListBullet"/>
      </w:pPr>
      <w:r>
        <w:t>启用/禁用Key</w:t>
      </w:r>
    </w:p>
    <w:p>
      <w:pPr>
        <w:pStyle w:val="ListBullet"/>
      </w:pPr>
      <w:r>
        <w:t>删除Key</w:t>
      </w:r>
    </w:p>
    <w:p>
      <w:pPr>
        <w:pStyle w:val="ListBullet"/>
      </w:pPr>
      <w:r>
        <w:t>每个租户最多支持10个Key</w:t>
      </w:r>
    </w:p>
    <w:p>
      <w:r>
        <w:t>**FR-KEY-003 Key认证**</w:t>
      </w:r>
    </w:p>
    <w:p>
      <w:pPr>
        <w:pStyle w:val="ListBullet"/>
      </w:pPr>
      <w:r>
        <w:t>API Key + Secret签名验证</w:t>
      </w:r>
    </w:p>
    <w:p>
      <w:pPr>
        <w:pStyle w:val="ListBullet"/>
      </w:pPr>
      <w:r>
        <w:t>支持在请求头或参数中传递Key</w:t>
      </w:r>
    </w:p>
    <w:p>
      <w:pPr>
        <w:pStyle w:val="ListBullet"/>
      </w:pPr>
      <w:r>
        <w:t>支持签名时效性校验（防止重放攻击）</w:t>
      </w:r>
    </w:p>
    <w:p>
      <w:pPr>
        <w:pStyle w:val="Heading3"/>
      </w:pPr>
      <w:r>
        <w:t>3.3 核心业务API模块</w:t>
      </w:r>
    </w:p>
    <w:p>
      <w:r>
        <w:t>**FR-API-001 RESTful API设计**</w:t>
      </w:r>
    </w:p>
    <w:p>
      <w:pPr>
        <w:pStyle w:val="ListBullet"/>
      </w:pPr>
      <w:r>
        <w:t>统一的URL规范：/api/v1/{resource}</w:t>
      </w:r>
    </w:p>
    <w:p>
      <w:pPr>
        <w:pStyle w:val="ListBullet"/>
      </w:pPr>
      <w:r>
        <w:t>统一的请求格式：JSON</w:t>
      </w:r>
    </w:p>
    <w:p>
      <w:pPr>
        <w:pStyle w:val="ListBullet"/>
      </w:pPr>
      <w:r>
        <w:t>统一的响应格式：{code, message, data}</w:t>
      </w:r>
    </w:p>
    <w:p>
      <w:pPr>
        <w:pStyle w:val="ListBullet"/>
      </w:pPr>
      <w:r>
        <w:t>标准的HTTP状态码使用</w:t>
      </w:r>
    </w:p>
    <w:p>
      <w:r>
        <w:t>**FR-API-002 API文档**</w:t>
      </w:r>
    </w:p>
    <w:p>
      <w:pPr>
        <w:pStyle w:val="ListBullet"/>
      </w:pPr>
      <w:r>
        <w:t>Swagger/OpenAPI 3.0规范</w:t>
      </w:r>
    </w:p>
    <w:p>
      <w:pPr>
        <w:pStyle w:val="ListBullet"/>
      </w:pPr>
      <w:r>
        <w:t>自动从代码生成文档</w:t>
      </w:r>
    </w:p>
    <w:p>
      <w:pPr>
        <w:pStyle w:val="ListBullet"/>
      </w:pPr>
      <w:r>
        <w:t>支持在线调试</w:t>
      </w:r>
    </w:p>
    <w:p>
      <w:pPr>
        <w:pStyle w:val="ListBullet"/>
      </w:pPr>
      <w:r>
        <w:t>支持文档导出</w:t>
      </w:r>
    </w:p>
    <w:p>
      <w:r>
        <w:t>**FR-API-003 限流机制**</w:t>
      </w:r>
    </w:p>
    <w:p>
      <w:pPr>
        <w:pStyle w:val="ListBullet"/>
      </w:pPr>
      <w:r>
        <w:t>基于API Key的限流</w:t>
      </w:r>
    </w:p>
    <w:p>
      <w:pPr>
        <w:pStyle w:val="ListBullet"/>
      </w:pPr>
      <w:r>
        <w:t>默认QPS限制：100次/秒</w:t>
      </w:r>
    </w:p>
    <w:p>
      <w:pPr>
        <w:pStyle w:val="ListBullet"/>
      </w:pPr>
      <w:r>
        <w:t>默认日调用限制：10000次</w:t>
      </w:r>
    </w:p>
    <w:p>
      <w:pPr>
        <w:pStyle w:val="ListBullet"/>
      </w:pPr>
      <w:r>
        <w:t>限流后返回429状态码</w:t>
      </w:r>
    </w:p>
    <w:p>
      <w:pPr>
        <w:pStyle w:val="Heading3"/>
      </w:pPr>
      <w:r>
        <w:t>3.4 管理后台模块</w:t>
      </w:r>
    </w:p>
    <w:p>
      <w:r>
        <w:t>**FR-ADMIN-001 租户管理**</w:t>
      </w:r>
    </w:p>
    <w:p>
      <w:pPr>
        <w:pStyle w:val="ListBullet"/>
      </w:pPr>
      <w:r>
        <w:t>租户列表查看</w:t>
      </w:r>
    </w:p>
    <w:p>
      <w:pPr>
        <w:pStyle w:val="ListBullet"/>
      </w:pPr>
      <w:r>
        <w:t>租户创建、编辑、禁用</w:t>
      </w:r>
    </w:p>
    <w:p>
      <w:pPr>
        <w:pStyle w:val="ListBullet"/>
      </w:pPr>
      <w:r>
        <w:t>租户资源配置（QPS、调用量限制）</w:t>
      </w:r>
    </w:p>
    <w:p>
      <w:pPr>
        <w:pStyle w:val="ListBullet"/>
      </w:pPr>
      <w:r>
        <w:t>租户使用量统计</w:t>
      </w:r>
    </w:p>
    <w:p>
      <w:r>
        <w:t>**FR-ADMIN-002 用户管理**</w:t>
      </w:r>
    </w:p>
    <w:p>
      <w:pPr>
        <w:pStyle w:val="ListBullet"/>
      </w:pPr>
      <w:r>
        <w:t>租户内用户列表</w:t>
      </w:r>
    </w:p>
    <w:p>
      <w:pPr>
        <w:pStyle w:val="ListBullet"/>
      </w:pPr>
      <w:r>
        <w:t>用户创建、编辑、禁用</w:t>
      </w:r>
    </w:p>
    <w:p>
      <w:pPr>
        <w:pStyle w:val="ListBullet"/>
      </w:pPr>
      <w:r>
        <w:t>角色分配</w:t>
      </w:r>
    </w:p>
    <w:p>
      <w:pPr>
        <w:pStyle w:val="ListBullet"/>
      </w:pPr>
      <w:r>
        <w:t>权限配置</w:t>
      </w:r>
    </w:p>
    <w:p>
      <w:r>
        <w:t>**FR-ADMIN-003 统计报表**</w:t>
      </w:r>
    </w:p>
    <w:p>
      <w:pPr>
        <w:pStyle w:val="ListBullet"/>
      </w:pPr>
      <w:r>
        <w:t>实时调用量统计</w:t>
      </w:r>
    </w:p>
    <w:p>
      <w:pPr>
        <w:pStyle w:val="ListBullet"/>
      </w:pPr>
      <w:r>
        <w:t>按时间维度汇总（日/周/月）</w:t>
      </w:r>
    </w:p>
    <w:p>
      <w:pPr>
        <w:pStyle w:val="ListBullet"/>
      </w:pPr>
      <w:r>
        <w:t>按接口维度统计</w:t>
      </w:r>
    </w:p>
    <w:p>
      <w:pPr>
        <w:pStyle w:val="ListBullet"/>
      </w:pPr>
      <w:r>
        <w:t>按租户维度统计</w:t>
      </w:r>
    </w:p>
    <w:p>
      <w:pPr>
        <w:pStyle w:val="ListBullet"/>
      </w:pPr>
      <w:r>
        <w:t>导出Excel报表</w:t>
      </w:r>
    </w:p>
    <w:p>
      <w:pPr>
        <w:pStyle w:val="Heading3"/>
      </w:pPr>
      <w:r>
        <w:t>3.5 系统管理模块</w:t>
      </w:r>
    </w:p>
    <w:p>
      <w:r>
        <w:t>**FR-SYS-001 系统配置**</w:t>
      </w:r>
    </w:p>
    <w:p>
      <w:pPr>
        <w:pStyle w:val="ListBullet"/>
      </w:pPr>
      <w:r>
        <w:t>API版本管理</w:t>
      </w:r>
    </w:p>
    <w:p>
      <w:pPr>
        <w:pStyle w:val="ListBullet"/>
      </w:pPr>
      <w:r>
        <w:t>全局限流配置</w:t>
      </w:r>
    </w:p>
    <w:p>
      <w:pPr>
        <w:pStyle w:val="ListBullet"/>
      </w:pPr>
      <w:r>
        <w:t>邮件服务配置</w:t>
      </w:r>
    </w:p>
    <w:p>
      <w:pPr>
        <w:pStyle w:val="ListBullet"/>
      </w:pPr>
      <w:r>
        <w:t>存储配置</w:t>
      </w:r>
    </w:p>
    <w:p>
      <w:r>
        <w:t>**FR-SYS-002 日志管理**</w:t>
      </w:r>
    </w:p>
    <w:p>
      <w:pPr>
        <w:pStyle w:val="ListBullet"/>
      </w:pPr>
      <w:r>
        <w:t>API调用日志</w:t>
      </w:r>
    </w:p>
    <w:p>
      <w:pPr>
        <w:pStyle w:val="ListBullet"/>
      </w:pPr>
      <w:r>
        <w:t>错误日志</w:t>
      </w:r>
    </w:p>
    <w:p>
      <w:pPr>
        <w:pStyle w:val="ListBullet"/>
      </w:pPr>
      <w:r>
        <w:t>操作审计日志</w:t>
      </w:r>
    </w:p>
    <w:p>
      <w:pPr>
        <w:pStyle w:val="ListBullet"/>
      </w:pPr>
      <w:r>
        <w:t>日志查询和导出</w:t>
      </w:r>
    </w:p>
    <w:p/>
    <w:p>
      <w:pPr>
        <w:pStyle w:val="Heading2"/>
      </w:pPr>
      <w:r>
        <w:t>第四章 非功能需求详述</w:t>
      </w:r>
    </w:p>
    <w:p>
      <w:pPr>
        <w:pStyle w:val="Heading3"/>
      </w:pPr>
      <w:r>
        <w:t>4.1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API响应时间</w:t>
            </w:r>
          </w:p>
        </w:tc>
        <w:tc>
          <w:tcPr>
            <w:tcW w:type="dxa" w:w="2880"/>
          </w:tcPr>
          <w:p>
            <w:r>
              <w:t>P95 &lt; 200ms</w:t>
            </w:r>
          </w:p>
        </w:tc>
        <w:tc>
          <w:tcPr>
            <w:tcW w:type="dxa" w:w="2880"/>
          </w:tcPr>
          <w:p>
            <w:r>
              <w:t>排除网络延迟</w:t>
            </w:r>
          </w:p>
        </w:tc>
      </w:tr>
      <w:tr>
        <w:tc>
          <w:tcPr>
            <w:tcW w:type="dxa" w:w="2880"/>
          </w:tcPr>
          <w:p>
            <w:r>
              <w:t>API吞吐量</w:t>
            </w:r>
          </w:p>
        </w:tc>
        <w:tc>
          <w:tcPr>
            <w:tcW w:type="dxa" w:w="2880"/>
          </w:tcPr>
          <w:p>
            <w:r>
              <w:t>支持500 QPS</w:t>
            </w:r>
          </w:p>
        </w:tc>
        <w:tc>
          <w:tcPr>
            <w:tcW w:type="dxa" w:w="2880"/>
          </w:tcPr>
          <w:p>
            <w:r>
              <w:t>峰值情况</w:t>
            </w:r>
          </w:p>
        </w:tc>
      </w:tr>
      <w:tr>
        <w:tc>
          <w:tcPr>
            <w:tcW w:type="dxa" w:w="2880"/>
          </w:tcPr>
          <w:p>
            <w:r>
              <w:t>并发支持</w:t>
            </w:r>
          </w:p>
        </w:tc>
        <w:tc>
          <w:tcPr>
            <w:tcW w:type="dxa" w:w="2880"/>
          </w:tcPr>
          <w:p>
            <w:r>
              <w:t>支持200并发</w:t>
            </w:r>
          </w:p>
        </w:tc>
        <w:tc>
          <w:tcPr>
            <w:tcW w:type="dxa" w:w="2880"/>
          </w:tcPr>
          <w:p>
            <w:r>
              <w:t>同时在线用户</w:t>
            </w:r>
          </w:p>
        </w:tc>
      </w:tr>
      <w:tr>
        <w:tc>
          <w:tcPr>
            <w:tcW w:type="dxa" w:w="2880"/>
          </w:tcPr>
          <w:p>
            <w:r>
              <w:t>数据库查询</w:t>
            </w:r>
          </w:p>
        </w:tc>
        <w:tc>
          <w:tcPr>
            <w:tcW w:type="dxa" w:w="2880"/>
          </w:tcPr>
          <w:p>
            <w:r>
              <w:t>P95 &lt; 50ms</w:t>
            </w:r>
          </w:p>
        </w:tc>
        <w:tc>
          <w:tcPr>
            <w:tcW w:type="dxa" w:w="2880"/>
          </w:tcPr>
          <w:p>
            <w:r>
              <w:t>索引优化后</w:t>
            </w:r>
          </w:p>
        </w:tc>
      </w:tr>
      <w:tr>
        <w:tc>
          <w:tcPr>
            <w:tcW w:type="dxa" w:w="2880"/>
          </w:tcPr>
          <w:p>
            <w:r>
              <w:t>缓存命中率</w:t>
            </w:r>
          </w:p>
        </w:tc>
        <w:tc>
          <w:tcPr>
            <w:tcW w:type="dxa" w:w="2880"/>
          </w:tcPr>
          <w:p>
            <w:r>
              <w:t>&gt;= 80%</w:t>
            </w:r>
          </w:p>
        </w:tc>
        <w:tc>
          <w:tcPr>
            <w:tcW w:type="dxa" w:w="2880"/>
          </w:tcPr>
          <w:p>
            <w:r>
              <w:t>热数据缓存</w:t>
            </w:r>
          </w:p>
        </w:tc>
      </w:tr>
    </w:tbl>
    <w:p>
      <w:pPr>
        <w:pStyle w:val="Heading3"/>
      </w:pPr>
      <w:r>
        <w:t>4.2 可用性指标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系统可用性</w:t>
            </w:r>
          </w:p>
        </w:tc>
        <w:tc>
          <w:tcPr>
            <w:tcW w:type="dxa" w:w="2880"/>
          </w:tcPr>
          <w:p>
            <w:r>
              <w:t>&gt;= 99.5%</w:t>
            </w:r>
          </w:p>
        </w:tc>
        <w:tc>
          <w:tcPr>
            <w:tcW w:type="dxa" w:w="2880"/>
          </w:tcPr>
          <w:p>
            <w:r>
              <w:t>年度统计</w:t>
            </w:r>
          </w:p>
        </w:tc>
      </w:tr>
      <w:tr>
        <w:tc>
          <w:tcPr>
            <w:tcW w:type="dxa" w:w="2880"/>
          </w:tcPr>
          <w:p>
            <w:r>
              <w:t>部署时间</w:t>
            </w:r>
          </w:p>
        </w:tc>
        <w:tc>
          <w:tcPr>
            <w:tcW w:type="dxa" w:w="2880"/>
          </w:tcPr>
          <w:p>
            <w:r>
              <w:t>&lt;= 30分钟</w:t>
            </w:r>
          </w:p>
        </w:tc>
        <w:tc>
          <w:tcPr>
            <w:tcW w:type="dxa" w:w="2880"/>
          </w:tcPr>
          <w:p>
            <w:r>
              <w:t>新服务器部署</w:t>
            </w:r>
          </w:p>
        </w:tc>
      </w:tr>
      <w:tr>
        <w:tc>
          <w:tcPr>
            <w:tcW w:type="dxa" w:w="2880"/>
          </w:tcPr>
          <w:p>
            <w:r>
              <w:t>故障恢复时间</w:t>
            </w:r>
          </w:p>
        </w:tc>
        <w:tc>
          <w:tcPr>
            <w:tcW w:type="dxa" w:w="2880"/>
          </w:tcPr>
          <w:p>
            <w:r>
              <w:t>&lt;= 30分钟</w:t>
            </w:r>
          </w:p>
        </w:tc>
        <w:tc>
          <w:tcPr>
            <w:tcW w:type="dxa" w:w="2880"/>
          </w:tcPr>
          <w:p>
            <w:r>
              <w:t>MTTR</w:t>
            </w:r>
          </w:p>
        </w:tc>
      </w:tr>
      <w:tr>
        <w:tc>
          <w:tcPr>
            <w:tcW w:type="dxa" w:w="2880"/>
          </w:tcPr>
          <w:p>
            <w:r>
              <w:t>计划内维护窗口</w:t>
            </w:r>
          </w:p>
        </w:tc>
        <w:tc>
          <w:tcPr>
            <w:tcW w:type="dxa" w:w="2880"/>
          </w:tcPr>
          <w:p>
            <w:r>
              <w:t>每月不超过4小时</w:t>
            </w:r>
          </w:p>
        </w:tc>
        <w:tc>
          <w:tcPr>
            <w:tcW w:type="dxa" w:w="2880"/>
          </w:tcPr>
          <w:p>
            <w:r>
              <w:t>凌晨时段</w:t>
            </w:r>
          </w:p>
        </w:tc>
      </w:tr>
    </w:tbl>
    <w:p>
      <w:pPr>
        <w:pStyle w:val="Heading3"/>
      </w:pPr>
      <w:r>
        <w:t>4.3 安全指标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认证失败处理</w:t>
            </w:r>
          </w:p>
        </w:tc>
        <w:tc>
          <w:tcPr>
            <w:tcW w:type="dxa" w:w="2880"/>
          </w:tcPr>
          <w:p>
            <w:r>
              <w:t>5次锁定30分钟</w:t>
            </w:r>
          </w:p>
        </w:tc>
        <w:tc>
          <w:tcPr>
            <w:tcW w:type="dxa" w:w="2880"/>
          </w:tcPr>
          <w:p>
            <w:r>
              <w:t>防暴力破解</w:t>
            </w:r>
          </w:p>
        </w:tc>
      </w:tr>
      <w:tr>
        <w:tc>
          <w:tcPr>
            <w:tcW w:type="dxa" w:w="2880"/>
          </w:tcPr>
          <w:p>
            <w:r>
              <w:t>密码存储</w:t>
            </w:r>
          </w:p>
        </w:tc>
        <w:tc>
          <w:tcPr>
            <w:tcW w:type="dxa" w:w="2880"/>
          </w:tcPr>
          <w:p>
            <w:r>
              <w:t>bcrypt加密</w:t>
            </w:r>
          </w:p>
        </w:tc>
        <w:tc>
          <w:tcPr>
            <w:tcW w:type="dxa" w:w="2880"/>
          </w:tcPr>
          <w:p>
            <w:r>
              <w:t>不可逆加密</w:t>
            </w:r>
          </w:p>
        </w:tc>
      </w:tr>
      <w:tr>
        <w:tc>
          <w:tcPr>
            <w:tcW w:type="dxa" w:w="2880"/>
          </w:tcPr>
          <w:p>
            <w:r>
              <w:t>敏感数据传输</w:t>
            </w:r>
          </w:p>
        </w:tc>
        <w:tc>
          <w:tcPr>
            <w:tcW w:type="dxa" w:w="2880"/>
          </w:tcPr>
          <w:p>
            <w:r>
              <w:t>HTTPS加密</w:t>
            </w:r>
          </w:p>
        </w:tc>
        <w:tc>
          <w:tcPr>
            <w:tcW w:type="dxa" w:w="2880"/>
          </w:tcPr>
          <w:p>
            <w:r>
              <w:t>全站强制HTTPS</w:t>
            </w:r>
          </w:p>
        </w:tc>
      </w:tr>
      <w:tr>
        <w:tc>
          <w:tcPr>
            <w:tcW w:type="dxa" w:w="2880"/>
          </w:tcPr>
          <w:p>
            <w:r>
              <w:t>API签名验证</w:t>
            </w:r>
          </w:p>
        </w:tc>
        <w:tc>
          <w:tcPr>
            <w:tcW w:type="dxa" w:w="2880"/>
          </w:tcPr>
          <w:p>
            <w:r>
              <w:t>HMAC-SHA256</w:t>
            </w:r>
          </w:p>
        </w:tc>
        <w:tc>
          <w:tcPr>
            <w:tcW w:type="dxa" w:w="2880"/>
          </w:tcPr>
          <w:p>
            <w:r>
              <w:t>防篡改</w:t>
            </w:r>
          </w:p>
        </w:tc>
      </w:tr>
      <w:tr>
        <w:tc>
          <w:tcPr>
            <w:tcW w:type="dxa" w:w="2880"/>
          </w:tcPr>
          <w:p>
            <w:r>
              <w:t>日志脱敏</w:t>
            </w:r>
          </w:p>
        </w:tc>
        <w:tc>
          <w:tcPr>
            <w:tcW w:type="dxa" w:w="2880"/>
          </w:tcPr>
          <w:p>
            <w:r>
              <w:t>敏感信息打码</w:t>
            </w:r>
          </w:p>
        </w:tc>
        <w:tc>
          <w:tcPr>
            <w:tcW w:type="dxa" w:w="2880"/>
          </w:tcPr>
          <w:p>
            <w:r>
              <w:t>手机号、身份证等</w:t>
            </w:r>
          </w:p>
        </w:tc>
      </w:tr>
    </w:tbl>
    <w:p>
      <w:pPr>
        <w:pStyle w:val="Heading3"/>
      </w:pPr>
      <w:r>
        <w:t>4.4 可维护性指标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代码覆盖率</w:t>
            </w:r>
          </w:p>
        </w:tc>
        <w:tc>
          <w:tcPr>
            <w:tcW w:type="dxa" w:w="2880"/>
          </w:tcPr>
          <w:p>
            <w:r>
              <w:t>&gt;= 70%</w:t>
            </w:r>
          </w:p>
        </w:tc>
        <w:tc>
          <w:tcPr>
            <w:tcW w:type="dxa" w:w="2880"/>
          </w:tcPr>
          <w:p>
            <w:r>
              <w:t>单元测试</w:t>
            </w:r>
          </w:p>
        </w:tc>
      </w:tr>
      <w:tr>
        <w:tc>
          <w:tcPr>
            <w:tcW w:type="dxa" w:w="2880"/>
          </w:tcPr>
          <w:p>
            <w:r>
              <w:t>部署方式</w:t>
            </w:r>
          </w:p>
        </w:tc>
        <w:tc>
          <w:tcPr>
            <w:tcW w:type="dxa" w:w="2880"/>
          </w:tcPr>
          <w:p>
            <w:r>
              <w:t>一键自动化</w:t>
            </w:r>
          </w:p>
        </w:tc>
        <w:tc>
          <w:tcPr>
            <w:tcW w:type="dxa" w:w="2880"/>
          </w:tcPr>
          <w:p>
            <w:r>
              <w:t>docker-compose</w:t>
            </w:r>
          </w:p>
        </w:tc>
      </w:tr>
      <w:tr>
        <w:tc>
          <w:tcPr>
            <w:tcW w:type="dxa" w:w="2880"/>
          </w:tcPr>
          <w:p>
            <w:r>
              <w:t>文档完整性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API文档覆盖率</w:t>
            </w:r>
          </w:p>
        </w:tc>
      </w:tr>
      <w:tr>
        <w:tc>
          <w:tcPr>
            <w:tcW w:type="dxa" w:w="2880"/>
          </w:tcPr>
          <w:p>
            <w:r>
              <w:t>监控覆盖率</w:t>
            </w:r>
          </w:p>
        </w:tc>
        <w:tc>
          <w:tcPr>
            <w:tcW w:type="dxa" w:w="2880"/>
          </w:tcPr>
          <w:p>
            <w:r>
              <w:t>&gt;= 90%</w:t>
            </w:r>
          </w:p>
        </w:tc>
        <w:tc>
          <w:tcPr>
            <w:tcW w:type="dxa" w:w="2880"/>
          </w:tcPr>
          <w:p>
            <w:r>
              <w:t>核心指标</w:t>
            </w:r>
          </w:p>
        </w:tc>
      </w:tr>
    </w:tbl>
    <w:p/>
    <w:p>
      <w:pPr>
        <w:pStyle w:val="Heading2"/>
      </w:pPr>
      <w:r>
        <w:t>第五章 数据需求</w:t>
      </w:r>
    </w:p>
    <w:p>
      <w:pPr>
        <w:pStyle w:val="Heading3"/>
      </w:pPr>
      <w:r>
        <w:t>5.1 数据模型</w:t>
      </w:r>
    </w:p>
    <w:p>
      <w:r>
        <w:t>**用户表（users）**：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邮箱，唯一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密码哈希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admin/tenant/user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租户ID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active/inactive/locked</w:t>
            </w:r>
          </w:p>
        </w:tc>
      </w:tr>
      <w:tr>
        <w:tc>
          <w:tcPr>
            <w:tcW w:type="dxa" w:w="2880"/>
          </w:tcPr>
          <w:p>
            <w:r>
              <w:t>email_verified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邮箱已验证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r>
        <w:t>**租户表（tenants）**：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租户名称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租户代码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active/inactive</w:t>
            </w:r>
          </w:p>
        </w:tc>
      </w:tr>
      <w:tr>
        <w:tc>
          <w:tcPr>
            <w:tcW w:type="dxa" w:w="2880"/>
          </w:tcPr>
          <w:p>
            <w:r>
              <w:t>quota_qps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QPS配额</w:t>
            </w:r>
          </w:p>
        </w:tc>
      </w:tr>
      <w:tr>
        <w:tc>
          <w:tcPr>
            <w:tcW w:type="dxa" w:w="2880"/>
          </w:tcPr>
          <w:p>
            <w:r>
              <w:t>quota_daily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日调用配额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r>
        <w:t>**API Key表（api_keys）**：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API Key</w:t>
            </w:r>
          </w:p>
        </w:tc>
      </w:tr>
      <w:tr>
        <w:tc>
          <w:tcPr>
            <w:tcW w:type="dxa" w:w="2880"/>
          </w:tcPr>
          <w:p>
            <w:r>
              <w:t>secret_hash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Secret哈希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所属用户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Key名称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active/inactive/expired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过期时间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r>
        <w:t>**调用日志表（api_logs）**：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BIGSERIAL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请求ID</w:t>
            </w:r>
          </w:p>
        </w:tc>
      </w:tr>
      <w:tr>
        <w:tc>
          <w:tcPr>
            <w:tcW w:type="dxa" w:w="2880"/>
          </w:tcPr>
          <w:p>
            <w:r>
              <w:t>api_key_id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API Key ID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HTTP方法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请求路径</w:t>
            </w:r>
          </w:p>
        </w:tc>
      </w:tr>
      <w:tr>
        <w:tc>
          <w:tcPr>
            <w:tcW w:type="dxa" w:w="2880"/>
          </w:tcPr>
          <w:p>
            <w:r>
              <w:t>status_code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响应状态码</w:t>
            </w:r>
          </w:p>
        </w:tc>
      </w:tr>
      <w:tr>
        <w:tc>
          <w:tcPr>
            <w:tcW w:type="dxa" w:w="2880"/>
          </w:tcPr>
          <w:p>
            <w:r>
              <w:t>response_time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响应时间(ms)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VARCHAR(45)</w:t>
            </w:r>
          </w:p>
        </w:tc>
        <w:tc>
          <w:tcPr>
            <w:tcW w:type="dxa" w:w="2880"/>
          </w:tcPr>
          <w:p>
            <w:r>
              <w:t>请求IP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请求时间</w:t>
            </w:r>
          </w:p>
        </w:tc>
      </w:tr>
    </w:tbl>
    <w:p>
      <w:pPr>
        <w:pStyle w:val="Heading3"/>
      </w:pPr>
      <w:r>
        <w:t>5.2 数据安全</w:t>
      </w:r>
    </w:p>
    <w:p>
      <w:pPr>
        <w:pStyle w:val="ListBullet"/>
      </w:pPr>
      <w:r>
        <w:t>数据库定期备份（每日全量，每周增量）</w:t>
      </w:r>
    </w:p>
    <w:p>
      <w:pPr>
        <w:pStyle w:val="ListBullet"/>
      </w:pPr>
      <w:r>
        <w:t>备份数据保留30天</w:t>
      </w:r>
    </w:p>
    <w:p>
      <w:pPr>
        <w:pStyle w:val="ListBullet"/>
      </w:pPr>
      <w:r>
        <w:t>敏感数据加密存储</w:t>
      </w:r>
    </w:p>
    <w:p>
      <w:pPr>
        <w:pStyle w:val="ListBullet"/>
      </w:pPr>
      <w:r>
        <w:t>日志数据保留30天</w:t>
      </w:r>
    </w:p>
    <w:p/>
    <w:p>
      <w:pPr>
        <w:pStyle w:val="Heading2"/>
      </w:pPr>
      <w:r>
        <w:t>第六章 接口规格</w:t>
      </w:r>
    </w:p>
    <w:p>
      <w:pPr>
        <w:pStyle w:val="Heading3"/>
      </w:pPr>
      <w:r>
        <w:t>6.1 API基础规范</w:t>
      </w:r>
    </w:p>
    <w:p>
      <w:r>
        <w:t>**基础URL**：https://api.example.com</w:t>
      </w:r>
    </w:p>
    <w:p>
      <w:r>
        <w:t>**认证方式**：</w:t>
      </w:r>
    </w:p>
    <w:p>
      <w:pPr>
        <w:pStyle w:val="ListNumber"/>
      </w:pPr>
      <w:r>
        <w:t>1. Header方式：`Authorization: Bearer {access_token}`</w:t>
      </w:r>
    </w:p>
    <w:p>
      <w:pPr>
        <w:pStyle w:val="ListNumber"/>
      </w:pPr>
      <w:r>
        <w:t>2. API Key方式：`X-API-Key: {api_key}`</w:t>
      </w:r>
    </w:p>
    <w:p>
      <w:r>
        <w:t>**通用请求头**：</w:t>
      </w:r>
    </w:p>
    <w:p>
      <w:pPr>
        <w:ind w:left="432"/>
      </w:pPr>
      <w:r>
        <w:rPr>
          <w:rFonts w:ascii="Consolas" w:hAnsi="Consolas"/>
          <w:sz w:val="18"/>
        </w:rPr>
        <w:t>Content-Type: application/json</w:t>
        <w:br/>
        <w:t>Accept: application/json</w:t>
        <w:br/>
        <w:t>X-Request-ID: {uuid}</w:t>
        <w:br/>
        <w:t>X-API-Key: {api_key}</w:t>
        <w:br/>
        <w:t>X-Signature: {hmac_signature}</w:t>
        <w:br/>
        <w:t>X-Timestamp: {unix_timestamp}</w:t>
      </w:r>
    </w:p>
    <w:p>
      <w:r>
        <w:t>**通用响应格式**：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{},</w:t>
        <w:br/>
        <w:t xml:space="preserve">  "request_id": "uuid",</w:t>
        <w:br/>
        <w:t xml:space="preserve">  "timestamp": 1713200000</w:t>
        <w:br/>
        <w:t>}</w:t>
      </w:r>
    </w:p>
    <w:p>
      <w:r>
        <w:t>**错误码规范**：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请求参数错误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未认证或认证失败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无权限访问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资源不存在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请求过于频繁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服务器内部错误</w:t>
            </w:r>
          </w:p>
        </w:tc>
      </w:tr>
    </w:tbl>
    <w:p>
      <w:pPr>
        <w:pStyle w:val="Heading3"/>
      </w:pPr>
      <w:r>
        <w:t>6.2 主要API接口</w:t>
      </w:r>
    </w:p>
    <w:p>
      <w:r>
        <w:t>**认证接口**：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/api/v1/auth/register</w:t>
            </w:r>
          </w:p>
        </w:tc>
        <w:tc>
          <w:tcPr>
            <w:tcW w:type="dxa" w:w="2880"/>
          </w:tcPr>
          <w:p>
            <w:r>
              <w:t>用户注册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用户登录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/api/v1/auth/refresh</w:t>
            </w:r>
          </w:p>
        </w:tc>
        <w:tc>
          <w:tcPr>
            <w:tcW w:type="dxa" w:w="2880"/>
          </w:tcPr>
          <w:p>
            <w:r>
              <w:t>刷新Token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登出</w:t>
            </w:r>
          </w:p>
        </w:tc>
      </w:tr>
    </w:tbl>
    <w:p>
      <w:r>
        <w:t>**API Key接口**：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/api/v1/keys</w:t>
            </w:r>
          </w:p>
        </w:tc>
        <w:tc>
          <w:tcPr>
            <w:tcW w:type="dxa" w:w="2880"/>
          </w:tcPr>
          <w:p>
            <w:r>
              <w:t>创建API Key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/api/v1/keys</w:t>
            </w:r>
          </w:p>
        </w:tc>
        <w:tc>
          <w:tcPr>
            <w:tcW w:type="dxa" w:w="2880"/>
          </w:tcPr>
          <w:p>
            <w:r>
              <w:t>获取Key列表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/api/v1/keys/{id}</w:t>
            </w:r>
          </w:p>
        </w:tc>
        <w:tc>
          <w:tcPr>
            <w:tcW w:type="dxa" w:w="2880"/>
          </w:tcPr>
          <w:p>
            <w:r>
              <w:t>获取Key详情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/api/v1/keys/{id}</w:t>
            </w:r>
          </w:p>
        </w:tc>
        <w:tc>
          <w:tcPr>
            <w:tcW w:type="dxa" w:w="2880"/>
          </w:tcPr>
          <w:p>
            <w:r>
              <w:t>更新Key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/api/v1/keys/{id}</w:t>
            </w:r>
          </w:p>
        </w:tc>
        <w:tc>
          <w:tcPr>
            <w:tcW w:type="dxa" w:w="2880"/>
          </w:tcPr>
          <w:p>
            <w:r>
              <w:t>删除Key</w:t>
            </w:r>
          </w:p>
        </w:tc>
      </w:tr>
    </w:tbl>
    <w:p>
      <w:r>
        <w:t>**业务接口**（待定，根据原仓库功能定义）</w:t>
      </w:r>
    </w:p>
    <w:p/>
    <w:p>
      <w:pPr>
        <w:pStyle w:val="Heading2"/>
      </w:pPr>
      <w:r>
        <w:t>第七章 约束条件</w:t>
      </w:r>
    </w:p>
    <w:p>
      <w:pPr>
        <w:pStyle w:val="Heading3"/>
      </w:pPr>
      <w:r>
        <w:t>7.1 技术约束</w:t>
      </w:r>
    </w:p>
    <w:p>
      <w:pPr>
        <w:pStyle w:val="ListBullet"/>
      </w:pPr>
      <w:r>
        <w:t>后端语言：Python/Java/Node.js（基于原仓库技术栈）</w:t>
      </w:r>
    </w:p>
    <w:p>
      <w:pPr>
        <w:pStyle w:val="ListBullet"/>
      </w:pPr>
      <w:r>
        <w:t>数据库：PostgreSQL 14+</w:t>
      </w:r>
    </w:p>
    <w:p>
      <w:pPr>
        <w:pStyle w:val="ListBullet"/>
      </w:pPr>
      <w:r>
        <w:t>缓存：Redis 6+</w:t>
      </w:r>
    </w:p>
    <w:p>
      <w:pPr>
        <w:pStyle w:val="ListBullet"/>
      </w:pPr>
      <w:r>
        <w:t>消息队列：可选（视具体需求）</w:t>
      </w:r>
    </w:p>
    <w:p>
      <w:pPr>
        <w:pStyle w:val="ListBullet"/>
      </w:pPr>
      <w:r>
        <w:t>部署环境：Docker + Linux</w:t>
      </w:r>
    </w:p>
    <w:p>
      <w:pPr>
        <w:pStyle w:val="Heading3"/>
      </w:pPr>
      <w:r>
        <w:t>7.2 时间约束</w:t>
      </w:r>
    </w:p>
    <w:p>
      <w:pPr>
        <w:pStyle w:val="ListBullet"/>
      </w:pPr>
      <w:r>
        <w:t>项目总工期：12周</w:t>
      </w:r>
    </w:p>
    <w:p>
      <w:pPr>
        <w:pStyle w:val="ListBullet"/>
      </w:pPr>
      <w:r>
        <w:t>第一阶段：2周</w:t>
      </w:r>
    </w:p>
    <w:p>
      <w:pPr>
        <w:pStyle w:val="ListBullet"/>
      </w:pPr>
      <w:r>
        <w:t>第二阶段：3周</w:t>
      </w:r>
    </w:p>
    <w:p>
      <w:pPr>
        <w:pStyle w:val="ListBullet"/>
      </w:pPr>
      <w:r>
        <w:t>第三阶段：2周</w:t>
      </w:r>
    </w:p>
    <w:p>
      <w:pPr>
        <w:pStyle w:val="ListBullet"/>
      </w:pPr>
      <w:r>
        <w:t>第四阶段：2周</w:t>
      </w:r>
    </w:p>
    <w:p>
      <w:pPr>
        <w:pStyle w:val="ListBullet"/>
      </w:pPr>
      <w:r>
        <w:t>第五阶段：3周</w:t>
      </w:r>
    </w:p>
    <w:p>
      <w:pPr>
        <w:pStyle w:val="Heading3"/>
      </w:pPr>
      <w:r>
        <w:t>7.3 资源约束</w:t>
      </w:r>
    </w:p>
    <w:p>
      <w:pPr>
        <w:pStyle w:val="ListBullet"/>
      </w:pPr>
      <w:r>
        <w:t>开发团队：2-3人</w:t>
      </w:r>
    </w:p>
    <w:p>
      <w:pPr>
        <w:pStyle w:val="ListBullet"/>
      </w:pPr>
      <w:r>
        <w:t>测试人员：1人</w:t>
      </w:r>
    </w:p>
    <w:p>
      <w:pPr>
        <w:pStyle w:val="ListBullet"/>
      </w:pPr>
      <w:r>
        <w:t>运维支持：1人</w:t>
      </w:r>
    </w:p>
    <w:p>
      <w:pPr>
        <w:pStyle w:val="ListBullet"/>
      </w:pPr>
      <w:r>
        <w:t>预算：视公司情况</w:t>
      </w:r>
    </w:p>
    <w:p>
      <w:pPr>
        <w:pStyle w:val="Heading3"/>
      </w:pPr>
      <w:r>
        <w:t>7.4 许可约束</w:t>
      </w:r>
    </w:p>
    <w:p>
      <w:pPr>
        <w:pStyle w:val="ListBullet"/>
      </w:pPr>
      <w:r>
        <w:t>必须确认原仓库许可证类型</w:t>
      </w:r>
    </w:p>
    <w:p>
      <w:pPr>
        <w:pStyle w:val="ListBullet"/>
      </w:pPr>
      <w:r>
        <w:t>商业使用需获得授权或进行代码重写</w:t>
      </w:r>
    </w:p>
    <w:p>
      <w:pPr>
        <w:pStyle w:val="ListBullet"/>
      </w:pPr>
      <w:r>
        <w:t>开源组件需遵守其许可证要求</w:t>
      </w:r>
    </w:p>
    <w:p/>
    <w:p>
      <w:pPr>
        <w:pStyle w:val="Heading2"/>
      </w:pPr>
      <w:r>
        <w:t>第八章 验收标准</w:t>
      </w:r>
    </w:p>
    <w:p>
      <w:pPr>
        <w:pStyle w:val="Heading3"/>
      </w:pPr>
      <w:r>
        <w:t>8.1 功能验收标准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用户注册登录</w:t>
            </w:r>
          </w:p>
        </w:tc>
        <w:tc>
          <w:tcPr>
            <w:tcW w:type="dxa" w:w="2880"/>
          </w:tcPr>
          <w:p>
            <w:r>
              <w:t>可正常注册、登录、登出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JWT认证</w:t>
            </w:r>
          </w:p>
        </w:tc>
        <w:tc>
          <w:tcPr>
            <w:tcW w:type="dxa" w:w="2880"/>
          </w:tcPr>
          <w:p>
            <w:r>
              <w:t>Token生成、验证、刷新正常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API Key管理</w:t>
            </w:r>
          </w:p>
        </w:tc>
        <w:tc>
          <w:tcPr>
            <w:tcW w:type="dxa" w:w="2880"/>
          </w:tcPr>
          <w:p>
            <w:r>
              <w:t>可创建、查看、禁用、删除Key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API调用</w:t>
            </w:r>
          </w:p>
        </w:tc>
        <w:tc>
          <w:tcPr>
            <w:tcW w:type="dxa" w:w="2880"/>
          </w:tcPr>
          <w:p>
            <w:r>
              <w:t>带Key的请求可正常调用业务API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Swagger文档</w:t>
            </w:r>
          </w:p>
        </w:tc>
        <w:tc>
          <w:tcPr>
            <w:tcW w:type="dxa" w:w="2880"/>
          </w:tcPr>
          <w:p>
            <w:r>
              <w:t>在线文档可访问、可测试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Nginx网关</w:t>
            </w:r>
          </w:p>
        </w:tc>
        <w:tc>
          <w:tcPr>
            <w:tcW w:type="dxa" w:w="2880"/>
          </w:tcPr>
          <w:p>
            <w:r>
              <w:t>反向代理、限流生效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CRUD操作正常，索引有效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Redis缓存</w:t>
            </w:r>
          </w:p>
        </w:tc>
        <w:tc>
          <w:tcPr>
            <w:tcW w:type="dxa" w:w="2880"/>
          </w:tcPr>
          <w:p>
            <w:r>
              <w:t>缓存读写正常，命中率&gt;80%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MinIO存储</w:t>
            </w:r>
          </w:p>
        </w:tc>
        <w:tc>
          <w:tcPr>
            <w:tcW w:type="dxa" w:w="2880"/>
          </w:tcPr>
          <w:p>
            <w:r>
              <w:t>文件上传下载正常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租户、用户、统计功能正常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一键部署</w:t>
            </w:r>
          </w:p>
        </w:tc>
        <w:tc>
          <w:tcPr>
            <w:tcW w:type="dxa" w:w="2880"/>
          </w:tcPr>
          <w:p>
            <w:r>
              <w:t>docker-compose up可完成部署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文档交付</w:t>
            </w:r>
          </w:p>
        </w:tc>
        <w:tc>
          <w:tcPr>
            <w:tcW w:type="dxa" w:w="2880"/>
          </w:tcPr>
          <w:p>
            <w:r>
              <w:t>部署文档、API文档齐全可用</w:t>
            </w:r>
          </w:p>
        </w:tc>
      </w:tr>
    </w:tbl>
    <w:p>
      <w:pPr>
        <w:pStyle w:val="Heading3"/>
      </w:pPr>
      <w:r>
        <w:t>8.2 性能验收标准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API响应时间</w:t>
            </w:r>
          </w:p>
        </w:tc>
        <w:tc>
          <w:tcPr>
            <w:tcW w:type="dxa" w:w="2880"/>
          </w:tcPr>
          <w:p>
            <w:r>
              <w:t>P95 &lt; 200ms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并发能力</w:t>
            </w:r>
          </w:p>
        </w:tc>
        <w:tc>
          <w:tcPr>
            <w:tcW w:type="dxa" w:w="2880"/>
          </w:tcPr>
          <w:p>
            <w:r>
              <w:t>200并发无错误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部署时间</w:t>
            </w:r>
          </w:p>
        </w:tc>
        <w:tc>
          <w:tcPr>
            <w:tcW w:type="dxa" w:w="2880"/>
          </w:tcPr>
          <w:p>
            <w:r>
              <w:t>新环境30分钟内完成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故障恢复</w:t>
            </w:r>
          </w:p>
        </w:tc>
        <w:tc>
          <w:tcPr>
            <w:tcW w:type="dxa" w:w="2880"/>
          </w:tcPr>
          <w:p>
            <w:r>
              <w:t>故障后30分钟内恢复</w:t>
            </w:r>
          </w:p>
        </w:tc>
      </w:tr>
    </w:tbl>
    <w:p>
      <w:pPr>
        <w:pStyle w:val="Heading3"/>
      </w:pPr>
      <w:r>
        <w:t>8.3 安全验收标准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密码安全</w:t>
            </w:r>
          </w:p>
        </w:tc>
        <w:tc>
          <w:tcPr>
            <w:tcW w:type="dxa" w:w="2880"/>
          </w:tcPr>
          <w:p>
            <w:r>
              <w:t>密码加密存储，不可逆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API认证</w:t>
            </w:r>
          </w:p>
        </w:tc>
        <w:tc>
          <w:tcPr>
            <w:tcW w:type="dxa" w:w="2880"/>
          </w:tcPr>
          <w:p>
            <w:r>
              <w:t>无Key请求被拒绝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数据隔离</w:t>
            </w:r>
          </w:p>
        </w:tc>
        <w:tc>
          <w:tcPr>
            <w:tcW w:type="dxa" w:w="2880"/>
          </w:tcPr>
          <w:p>
            <w:r>
              <w:t>租户间数据完全隔离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日志安全</w:t>
            </w:r>
          </w:p>
        </w:tc>
        <w:tc>
          <w:tcPr>
            <w:tcW w:type="dxa" w:w="2880"/>
          </w:tcPr>
          <w:p>
            <w:r>
              <w:t>敏感信息已脱敏</w:t>
            </w:r>
          </w:p>
        </w:tc>
      </w:tr>
    </w:tbl>
    <w:p/>
    <w:p>
      <w:pPr>
        <w:pStyle w:val="Heading2"/>
      </w:pPr>
      <w:r>
        <w:t>第九章 附录</w:t>
      </w:r>
    </w:p>
    <w:p>
      <w:pPr>
        <w:pStyle w:val="Heading3"/>
      </w:pPr>
      <w:r>
        <w:t>9.1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Token，一种开放标准用于身份验证</w:t>
            </w:r>
          </w:p>
        </w:tc>
      </w:tr>
      <w:tr>
        <w:tc>
          <w:tcPr>
            <w:tcW w:type="dxa" w:w="4320"/>
          </w:tcPr>
          <w:p>
            <w:r>
              <w:t>API Key</w:t>
            </w:r>
          </w:p>
        </w:tc>
        <w:tc>
          <w:tcPr>
            <w:tcW w:type="dxa" w:w="4320"/>
          </w:tcPr>
          <w:p>
            <w:r>
              <w:t>用于识别调用方的密钥</w:t>
            </w:r>
          </w:p>
        </w:tc>
      </w:tr>
      <w:tr>
        <w:tc>
          <w:tcPr>
            <w:tcW w:type="dxa" w:w="4320"/>
          </w:tcPr>
          <w:p>
            <w:r>
              <w:t>Secret</w:t>
            </w:r>
          </w:p>
        </w:tc>
        <w:tc>
          <w:tcPr>
            <w:tcW w:type="dxa" w:w="4320"/>
          </w:tcPr>
          <w:p>
            <w:r>
              <w:t>用于签名验证的密钥</w:t>
            </w:r>
          </w:p>
        </w:tc>
      </w:tr>
      <w:tr>
        <w:tc>
          <w:tcPr>
            <w:tcW w:type="dxa" w:w="4320"/>
          </w:tcPr>
          <w:p>
            <w:r>
              <w:t>限流</w:t>
            </w:r>
          </w:p>
        </w:tc>
        <w:tc>
          <w:tcPr>
            <w:tcW w:type="dxa" w:w="4320"/>
          </w:tcPr>
          <w:p>
            <w:r>
              <w:t>控制API调用频率的机制</w:t>
            </w:r>
          </w:p>
        </w:tc>
      </w:tr>
      <w:tr>
        <w:tc>
          <w:tcPr>
            <w:tcW w:type="dxa" w:w="4320"/>
          </w:tcPr>
          <w:p>
            <w:r>
              <w:t>租户</w:t>
            </w:r>
          </w:p>
        </w:tc>
        <w:tc>
          <w:tcPr>
            <w:tcW w:type="dxa" w:w="4320"/>
          </w:tcPr>
          <w:p>
            <w:r>
              <w:t>共享系统资源但数据隔离的客户单位</w:t>
            </w:r>
          </w:p>
        </w:tc>
      </w:tr>
    </w:tbl>
    <w:p>
      <w:pPr>
        <w:pStyle w:val="Heading3"/>
      </w:pPr>
      <w:r>
        <w:t>9.2 参考文档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技术架构设计文档</w:t>
            </w:r>
          </w:p>
        </w:tc>
        <w:tc>
          <w:tcPr>
            <w:tcW w:type="dxa" w:w="4320"/>
          </w:tcPr>
          <w:p>
            <w:r>
              <w:t>ARCH-DOC-001</w:t>
            </w:r>
          </w:p>
        </w:tc>
      </w:tr>
      <w:tr>
        <w:tc>
          <w:tcPr>
            <w:tcW w:type="dxa" w:w="4320"/>
          </w:tcPr>
          <w:p>
            <w:r>
              <w:t>接口设计文档</w:t>
            </w:r>
          </w:p>
        </w:tc>
        <w:tc>
          <w:tcPr>
            <w:tcW w:type="dxa" w:w="4320"/>
          </w:tcPr>
          <w:p>
            <w:r>
              <w:t>API-DOC-001</w:t>
            </w:r>
          </w:p>
        </w:tc>
      </w:tr>
      <w:tr>
        <w:tc>
          <w:tcPr>
            <w:tcW w:type="dxa" w:w="4320"/>
          </w:tcPr>
          <w:p>
            <w:r>
              <w:t>数据库设计文档</w:t>
            </w:r>
          </w:p>
        </w:tc>
        <w:tc>
          <w:tcPr>
            <w:tcW w:type="dxa" w:w="4320"/>
          </w:tcPr>
          <w:p>
            <w:r>
              <w:t>DB-DOC-001</w:t>
            </w:r>
          </w:p>
        </w:tc>
      </w:tr>
      <w:tr>
        <w:tc>
          <w:tcPr>
            <w:tcW w:type="dxa" w:w="4320"/>
          </w:tcPr>
          <w:p>
            <w:r>
              <w:t>测试计划文档</w:t>
            </w:r>
          </w:p>
        </w:tc>
        <w:tc>
          <w:tcPr>
            <w:tcW w:type="dxa" w:w="4320"/>
          </w:tcPr>
          <w:p>
            <w:r>
              <w:t>TEST-PLAN-001</w:t>
            </w:r>
          </w:p>
        </w:tc>
      </w:tr>
      <w:tr>
        <w:tc>
          <w:tcPr>
            <w:tcW w:type="dxa" w:w="4320"/>
          </w:tcPr>
          <w:p>
            <w:r>
              <w:t>部署实施文档</w:t>
            </w:r>
          </w:p>
        </w:tc>
        <w:tc>
          <w:tcPr>
            <w:tcW w:type="dxa" w:w="4320"/>
          </w:tcPr>
          <w:p>
            <w:r>
              <w:t>DEPLOY-DOC-001</w:t>
            </w:r>
          </w:p>
        </w:tc>
      </w:tr>
    </w:tbl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