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API服务改造项目工作说明书（SOW）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SOW-API-2026-001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API服务改造项目</w:t>
            </w:r>
          </w:p>
        </w:tc>
      </w:tr>
    </w:tbl>
    <w:p/>
    <w:p>
      <w:pPr>
        <w:pStyle w:val="Heading2"/>
      </w:pPr>
      <w:r>
        <w:t>第一章 项目概述</w:t>
      </w:r>
    </w:p>
    <w:p>
      <w:pPr>
        <w:pStyle w:val="Heading3"/>
      </w:pPr>
      <w:r>
        <w:t>1.1 项目背景</w:t>
      </w:r>
    </w:p>
    <w:p>
      <w:r>
        <w:t>本项目旨在将现有的课程项目代码仓库改造成可对外交付的商业化API服务产品。项目需建立完整的用户认证、API Key管理、业务接口、管理后台、监控运维等能力，以支撑未来的多租户商业化运营。</w:t>
      </w:r>
    </w:p>
    <w:p>
      <w:pPr>
        <w:pStyle w:val="Heading3"/>
      </w:pPr>
      <w:r>
        <w:t>1.2 项目范围</w:t>
      </w:r>
    </w:p>
    <w:p>
      <w:r>
        <w:t>**工作内容包括**：</w:t>
      </w:r>
    </w:p>
    <w:p>
      <w:pPr>
        <w:pStyle w:val="ListNumber"/>
      </w:pPr>
      <w:r>
        <w:t>1. **现状评估与容器化**</w:t>
      </w:r>
    </w:p>
    <w:p>
      <w:pPr>
        <w:pStyle w:val="ListBullet"/>
      </w:pPr>
      <w:r>
        <w:t>代码仓库审计与依赖分析</w:t>
      </w:r>
    </w:p>
    <w:p>
      <w:pPr>
        <w:pStyle w:val="ListBullet"/>
      </w:pPr>
      <w:r>
        <w:t>许可证合规性检查</w:t>
      </w:r>
    </w:p>
    <w:p>
      <w:pPr>
        <w:pStyle w:val="ListBullet"/>
      </w:pPr>
      <w:r>
        <w:t>技术债务评估</w:t>
      </w:r>
    </w:p>
    <w:p>
      <w:pPr>
        <w:pStyle w:val="ListBullet"/>
      </w:pPr>
      <w:r>
        <w:t>应用Docker容器化</w:t>
      </w:r>
    </w:p>
    <w:p>
      <w:pPr>
        <w:pStyle w:val="ListBullet"/>
      </w:pPr>
      <w:r>
        <w:t>Docker Compose编排</w:t>
      </w:r>
    </w:p>
    <w:p>
      <w:pPr>
        <w:pStyle w:val="ListNumber"/>
      </w:pPr>
      <w:r>
        <w:t>2. **认证鉴权体系**</w:t>
      </w:r>
    </w:p>
    <w:p>
      <w:pPr>
        <w:pStyle w:val="ListBullet"/>
      </w:pPr>
      <w:r>
        <w:t>用户注册、登录、登出</w:t>
      </w:r>
    </w:p>
    <w:p>
      <w:pPr>
        <w:pStyle w:val="ListBullet"/>
      </w:pPr>
      <w:r>
        <w:t>JWT Token认证</w:t>
      </w:r>
    </w:p>
    <w:p>
      <w:pPr>
        <w:pStyle w:val="ListBullet"/>
      </w:pPr>
      <w:r>
        <w:t>Token刷新与撤销</w:t>
      </w:r>
    </w:p>
    <w:p>
      <w:pPr>
        <w:pStyle w:val="ListBullet"/>
      </w:pPr>
      <w:r>
        <w:t>API Key生成与管理</w:t>
      </w:r>
    </w:p>
    <w:p>
      <w:pPr>
        <w:pStyle w:val="ListBullet"/>
      </w:pPr>
      <w:r>
        <w:t>基于Key的访问控制</w:t>
      </w:r>
    </w:p>
    <w:p>
      <w:pPr>
        <w:pStyle w:val="ListNumber"/>
      </w:pPr>
      <w:r>
        <w:t>3. **核心业务API**</w:t>
      </w:r>
    </w:p>
    <w:p>
      <w:pPr>
        <w:pStyle w:val="ListBullet"/>
      </w:pPr>
      <w:r>
        <w:t>RESTful API规范化</w:t>
      </w:r>
    </w:p>
    <w:p>
      <w:pPr>
        <w:pStyle w:val="ListBullet"/>
      </w:pPr>
      <w:r>
        <w:t>请求参数校验</w:t>
      </w:r>
    </w:p>
    <w:p>
      <w:pPr>
        <w:pStyle w:val="ListBullet"/>
      </w:pPr>
      <w:r>
        <w:t>统一响应格式</w:t>
      </w:r>
    </w:p>
    <w:p>
      <w:pPr>
        <w:pStyle w:val="ListBullet"/>
      </w:pPr>
      <w:r>
        <w:t>错误处理标准化</w:t>
      </w:r>
    </w:p>
    <w:p>
      <w:pPr>
        <w:pStyle w:val="ListBullet"/>
      </w:pPr>
      <w:r>
        <w:t>Swagger API文档</w:t>
      </w:r>
    </w:p>
    <w:p>
      <w:pPr>
        <w:pStyle w:val="ListNumber"/>
      </w:pPr>
      <w:r>
        <w:t>4. **基础设施集成**</w:t>
      </w:r>
    </w:p>
    <w:p>
      <w:pPr>
        <w:pStyle w:val="ListBullet"/>
      </w:pPr>
      <w:r>
        <w:t>PostgreSQL数据库集成</w:t>
      </w:r>
    </w:p>
    <w:p>
      <w:pPr>
        <w:pStyle w:val="ListBullet"/>
      </w:pPr>
      <w:r>
        <w:t>Redis缓存集成</w:t>
      </w:r>
    </w:p>
    <w:p>
      <w:pPr>
        <w:pStyle w:val="ListBullet"/>
      </w:pPr>
      <w:r>
        <w:t>MinIO对象存储集成</w:t>
      </w:r>
    </w:p>
    <w:p>
      <w:pPr>
        <w:pStyle w:val="ListBullet"/>
      </w:pPr>
      <w:r>
        <w:t>Nginx反向代理网关</w:t>
      </w:r>
    </w:p>
    <w:p>
      <w:pPr>
        <w:pStyle w:val="ListBullet"/>
      </w:pPr>
      <w:r>
        <w:t>SSL/TLS配置</w:t>
      </w:r>
    </w:p>
    <w:p>
      <w:pPr>
        <w:pStyle w:val="ListNumber"/>
      </w:pPr>
      <w:r>
        <w:t>5. **管理后台开发**</w:t>
      </w:r>
    </w:p>
    <w:p>
      <w:pPr>
        <w:pStyle w:val="ListBullet"/>
      </w:pPr>
      <w:r>
        <w:t>租户管理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API Key管理</w:t>
      </w:r>
    </w:p>
    <w:p>
      <w:pPr>
        <w:pStyle w:val="ListBullet"/>
      </w:pPr>
      <w:r>
        <w:t>使用统计与报表</w:t>
      </w:r>
    </w:p>
    <w:p>
      <w:pPr>
        <w:pStyle w:val="ListNumber"/>
      </w:pPr>
      <w:r>
        <w:t>6. **部署与运维**</w:t>
      </w:r>
    </w:p>
    <w:p>
      <w:pPr>
        <w:pStyle w:val="ListBullet"/>
      </w:pPr>
      <w:r>
        <w:t>Docker Compose一键部署</w:t>
      </w:r>
    </w:p>
    <w:p>
      <w:pPr>
        <w:pStyle w:val="ListBullet"/>
      </w:pPr>
      <w:r>
        <w:t>部署文档编写</w:t>
      </w:r>
    </w:p>
    <w:p>
      <w:pPr>
        <w:pStyle w:val="ListBullet"/>
      </w:pPr>
      <w:r>
        <w:t>运维手册编写</w:t>
      </w:r>
    </w:p>
    <w:p>
      <w:pPr>
        <w:pStyle w:val="ListBullet"/>
      </w:pPr>
      <w:r>
        <w:t>备份恢复方案</w:t>
      </w:r>
    </w:p>
    <w:p>
      <w:pPr>
        <w:pStyle w:val="ListBullet"/>
      </w:pPr>
      <w:r>
        <w:t>升级回滚方案</w:t>
      </w:r>
    </w:p>
    <w:p>
      <w:r>
        <w:t>**工作不包括**：</w:t>
      </w:r>
    </w:p>
    <w:p>
      <w:pPr>
        <w:pStyle w:val="ListBullet"/>
      </w:pPr>
      <w:r>
        <w:t>原有业务逻辑的大规模重构</w:t>
      </w:r>
    </w:p>
    <w:p>
      <w:pPr>
        <w:pStyle w:val="ListBullet"/>
      </w:pPr>
      <w:r>
        <w:t>移动端应用开发</w:t>
      </w:r>
    </w:p>
    <w:p>
      <w:pPr>
        <w:pStyle w:val="ListBullet"/>
      </w:pPr>
      <w:r>
        <w:t>多语言国际化支持</w:t>
      </w:r>
    </w:p>
    <w:p>
      <w:pPr>
        <w:pStyle w:val="ListBullet"/>
      </w:pPr>
      <w:r>
        <w:t>计费结算系统</w:t>
      </w:r>
    </w:p>
    <w:p>
      <w:pPr>
        <w:pStyle w:val="ListBullet"/>
      </w:pPr>
      <w:r>
        <w:t>第三方支付集成</w:t>
      </w:r>
    </w:p>
    <w:p>
      <w:pPr>
        <w:pStyle w:val="Heading3"/>
      </w:pPr>
      <w:r>
        <w:t>1.3 项目交付物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源代码仓库</w:t>
            </w:r>
          </w:p>
        </w:tc>
        <w:tc>
          <w:tcPr>
            <w:tcW w:type="dxa" w:w="1728"/>
          </w:tcPr>
          <w:p>
            <w:r>
              <w:t>Git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可编译、可运行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Docker镜像</w:t>
            </w:r>
          </w:p>
        </w:tc>
        <w:tc>
          <w:tcPr>
            <w:tcW w:type="dxa" w:w="1728"/>
          </w:tcPr>
          <w:p>
            <w:r>
              <w:t>Docker Registry</w:t>
            </w:r>
          </w:p>
        </w:tc>
        <w:tc>
          <w:tcPr>
            <w:tcW w:type="dxa" w:w="1728"/>
          </w:tcPr>
          <w:p>
            <w:r>
              <w:t>3个</w:t>
            </w:r>
          </w:p>
        </w:tc>
        <w:tc>
          <w:tcPr>
            <w:tcW w:type="dxa" w:w="1728"/>
          </w:tcPr>
          <w:p>
            <w:r>
              <w:t>可成功拉取运行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docker-compose配置</w:t>
            </w:r>
          </w:p>
        </w:tc>
        <w:tc>
          <w:tcPr>
            <w:tcW w:type="dxa" w:w="1728"/>
          </w:tcPr>
          <w:p>
            <w:r>
              <w:t>YAML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一键部署成功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部署文档</w:t>
            </w:r>
          </w:p>
        </w:tc>
        <w:tc>
          <w:tcPr>
            <w:tcW w:type="dxa" w:w="1728"/>
          </w:tcPr>
          <w:p>
            <w:r>
              <w:t>PDF/Markdown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新手可完成部署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API技术文档</w:t>
            </w:r>
          </w:p>
        </w:tc>
        <w:tc>
          <w:tcPr>
            <w:tcW w:type="dxa" w:w="1728"/>
          </w:tcPr>
          <w:p>
            <w:r>
              <w:t>Swagger/HTML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覆盖100%接口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运维手册</w:t>
            </w:r>
          </w:p>
        </w:tc>
        <w:tc>
          <w:tcPr>
            <w:tcW w:type="dxa" w:w="1728"/>
          </w:tcPr>
          <w:p>
            <w:r>
              <w:t>PDF/Markdown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包含故障处理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测试报告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P0用例100%通过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验收报告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1份</w:t>
            </w:r>
          </w:p>
        </w:tc>
        <w:tc>
          <w:tcPr>
            <w:tcW w:type="dxa" w:w="1728"/>
          </w:tcPr>
          <w:p>
            <w:r>
              <w:t>甲方签字确认</w:t>
            </w:r>
          </w:p>
        </w:tc>
      </w:tr>
    </w:tbl>
    <w:p/>
    <w:p>
      <w:pPr>
        <w:pStyle w:val="Heading2"/>
      </w:pPr>
      <w:r>
        <w:t>第二章 项目目标与验收标准</w:t>
      </w:r>
    </w:p>
    <w:p>
      <w:pPr>
        <w:pStyle w:val="Heading3"/>
      </w:pPr>
      <w:r>
        <w:t>2.1 项目目标</w:t>
      </w:r>
    </w:p>
    <w:p>
      <w:r>
        <w:t>**总体目标**：在12周内完成从代码仓库到可交付API服务产品的改造，建立完整的运营支撑体系。</w:t>
      </w:r>
    </w:p>
    <w:p>
      <w:r>
        <w:t>**具体可量化目标**：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OBJ-001</w:t>
            </w:r>
          </w:p>
        </w:tc>
        <w:tc>
          <w:tcPr>
            <w:tcW w:type="dxa" w:w="2160"/>
          </w:tcPr>
          <w:p>
            <w:r>
              <w:t>Docker化完成</w:t>
            </w:r>
          </w:p>
        </w:tc>
        <w:tc>
          <w:tcPr>
            <w:tcW w:type="dxa" w:w="2160"/>
          </w:tcPr>
          <w:p>
            <w:r>
              <w:t>镜像构建成功率100%</w:t>
            </w:r>
          </w:p>
        </w:tc>
        <w:tc>
          <w:tcPr>
            <w:tcW w:type="dxa" w:w="2160"/>
          </w:tcPr>
          <w:p>
            <w:r>
              <w:t>构建日志</w:t>
            </w:r>
          </w:p>
        </w:tc>
      </w:tr>
      <w:tr>
        <w:tc>
          <w:tcPr>
            <w:tcW w:type="dxa" w:w="2160"/>
          </w:tcPr>
          <w:p>
            <w:r>
              <w:t>OBJ-002</w:t>
            </w:r>
          </w:p>
        </w:tc>
        <w:tc>
          <w:tcPr>
            <w:tcW w:type="dxa" w:w="2160"/>
          </w:tcPr>
          <w:p>
            <w:r>
              <w:t>认证鉴权可用</w:t>
            </w:r>
          </w:p>
        </w:tc>
        <w:tc>
          <w:tcPr>
            <w:tcW w:type="dxa" w:w="2160"/>
          </w:tcPr>
          <w:p>
            <w:r>
              <w:t>JWT+API Key双认证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OBJ-003</w:t>
            </w:r>
          </w:p>
        </w:tc>
        <w:tc>
          <w:tcPr>
            <w:tcW w:type="dxa" w:w="2160"/>
          </w:tcPr>
          <w:p>
            <w:r>
              <w:t>一键部署可行</w:t>
            </w:r>
          </w:p>
        </w:tc>
        <w:tc>
          <w:tcPr>
            <w:tcW w:type="dxa" w:w="2160"/>
          </w:tcPr>
          <w:p>
            <w:r>
              <w:t>部署时间&lt;=30分钟</w:t>
            </w:r>
          </w:p>
        </w:tc>
        <w:tc>
          <w:tcPr>
            <w:tcW w:type="dxa" w:w="2160"/>
          </w:tcPr>
          <w:p>
            <w:r>
              <w:t>计时验证</w:t>
            </w:r>
          </w:p>
        </w:tc>
      </w:tr>
      <w:tr>
        <w:tc>
          <w:tcPr>
            <w:tcW w:type="dxa" w:w="2160"/>
          </w:tcPr>
          <w:p>
            <w:r>
              <w:t>OBJ-004</w:t>
            </w:r>
          </w:p>
        </w:tc>
        <w:tc>
          <w:tcPr>
            <w:tcW w:type="dxa" w:w="2160"/>
          </w:tcPr>
          <w:p>
            <w:r>
              <w:t>管理后台完整</w:t>
            </w:r>
          </w:p>
        </w:tc>
        <w:tc>
          <w:tcPr>
            <w:tcW w:type="dxa" w:w="2160"/>
          </w:tcPr>
          <w:p>
            <w:r>
              <w:t>核心功能可用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OBJ-005</w:t>
            </w:r>
          </w:p>
        </w:tc>
        <w:tc>
          <w:tcPr>
            <w:tcW w:type="dxa" w:w="2160"/>
          </w:tcPr>
          <w:p>
            <w:r>
              <w:t>文档交付完整</w:t>
            </w:r>
          </w:p>
        </w:tc>
        <w:tc>
          <w:tcPr>
            <w:tcW w:type="dxa" w:w="2160"/>
          </w:tcPr>
          <w:p>
            <w:r>
              <w:t>文档齐全可用</w:t>
            </w:r>
          </w:p>
        </w:tc>
        <w:tc>
          <w:tcPr>
            <w:tcW w:type="dxa" w:w="2160"/>
          </w:tcPr>
          <w:p>
            <w:r>
              <w:t>文档评审</w:t>
            </w:r>
          </w:p>
        </w:tc>
      </w:tr>
      <w:tr>
        <w:tc>
          <w:tcPr>
            <w:tcW w:type="dxa" w:w="2160"/>
          </w:tcPr>
          <w:p>
            <w:r>
              <w:t>OBJ-006</w:t>
            </w:r>
          </w:p>
        </w:tc>
        <w:tc>
          <w:tcPr>
            <w:tcW w:type="dxa" w:w="2160"/>
          </w:tcPr>
          <w:p>
            <w:r>
              <w:t>测试通过</w:t>
            </w:r>
          </w:p>
        </w:tc>
        <w:tc>
          <w:tcPr>
            <w:tcW w:type="dxa" w:w="2160"/>
          </w:tcPr>
          <w:p>
            <w:r>
              <w:t>覆盖率&gt;=70%, P0通过100%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</w:tbl>
    <w:p>
      <w:pPr>
        <w:pStyle w:val="Heading3"/>
      </w:pPr>
      <w:r>
        <w:t>2.2 功能验收标准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可注册账户，收到验证邮件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使用正确凭证登录成功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JWT认证</w:t>
            </w:r>
          </w:p>
        </w:tc>
        <w:tc>
          <w:tcPr>
            <w:tcW w:type="dxa" w:w="2160"/>
          </w:tcPr>
          <w:p>
            <w:r>
              <w:t>Token生成、验证、刷新正常</w:t>
            </w:r>
          </w:p>
        </w:tc>
        <w:tc>
          <w:tcPr>
            <w:tcW w:type="dxa" w:w="2160"/>
          </w:tcPr>
          <w:p>
            <w:r>
              <w:t>单元测试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 Key申请</w:t>
            </w:r>
          </w:p>
        </w:tc>
        <w:tc>
          <w:tcPr>
            <w:tcW w:type="dxa" w:w="2160"/>
          </w:tcPr>
          <w:p>
            <w:r>
              <w:t>可创建带Key和Secret的Key对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API Key验证</w:t>
            </w:r>
          </w:p>
        </w:tc>
        <w:tc>
          <w:tcPr>
            <w:tcW w:type="dxa" w:w="2160"/>
          </w:tcPr>
          <w:p>
            <w:r>
              <w:t>使用正确Key可调用API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API限流</w:t>
            </w:r>
          </w:p>
        </w:tc>
        <w:tc>
          <w:tcPr>
            <w:tcW w:type="dxa" w:w="2160"/>
          </w:tcPr>
          <w:p>
            <w:r>
              <w:t>超过QPS返回429</w:t>
            </w:r>
          </w:p>
        </w:tc>
        <w:tc>
          <w:tcPr>
            <w:tcW w:type="dxa" w:w="2160"/>
          </w:tcPr>
          <w:p>
            <w:r>
              <w:t>压力测试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Swagger文档</w:t>
            </w:r>
          </w:p>
        </w:tc>
        <w:tc>
          <w:tcPr>
            <w:tcW w:type="dxa" w:w="2160"/>
          </w:tcPr>
          <w:p>
            <w:r>
              <w:t>在线测试接口可用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数据存储</w:t>
            </w:r>
          </w:p>
        </w:tc>
        <w:tc>
          <w:tcPr>
            <w:tcW w:type="dxa" w:w="2160"/>
          </w:tcPr>
          <w:p>
            <w:r>
              <w:t>CRUD操作正常</w:t>
            </w:r>
          </w:p>
        </w:tc>
        <w:tc>
          <w:tcPr>
            <w:tcW w:type="dxa" w:w="2160"/>
          </w:tcPr>
          <w:p>
            <w:r>
              <w:t>集成测试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缓存功能</w:t>
            </w:r>
          </w:p>
        </w:tc>
        <w:tc>
          <w:tcPr>
            <w:tcW w:type="dxa" w:w="2160"/>
          </w:tcPr>
          <w:p>
            <w:r>
              <w:t>缓存读写正常，命中率&gt;80%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文件存储</w:t>
            </w:r>
          </w:p>
        </w:tc>
        <w:tc>
          <w:tcPr>
            <w:tcW w:type="dxa" w:w="2160"/>
          </w:tcPr>
          <w:p>
            <w:r>
              <w:t>上传下载正常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租户管理</w:t>
            </w:r>
          </w:p>
        </w:tc>
        <w:tc>
          <w:tcPr>
            <w:tcW w:type="dxa" w:w="2160"/>
          </w:tcPr>
          <w:p>
            <w:r>
              <w:t>CRUD功能正常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统计报表</w:t>
            </w:r>
          </w:p>
        </w:tc>
        <w:tc>
          <w:tcPr>
            <w:tcW w:type="dxa" w:w="2160"/>
          </w:tcPr>
          <w:p>
            <w:r>
              <w:t>数据准确，可导出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一键部署</w:t>
            </w:r>
          </w:p>
        </w:tc>
        <w:tc>
          <w:tcPr>
            <w:tcW w:type="dxa" w:w="2160"/>
          </w:tcPr>
          <w:p>
            <w:r>
              <w:t>docker-compose up成功</w:t>
            </w:r>
          </w:p>
        </w:tc>
        <w:tc>
          <w:tcPr>
            <w:tcW w:type="dxa" w:w="2160"/>
          </w:tcPr>
          <w:p>
            <w:r>
              <w:t>部署测试</w:t>
            </w:r>
          </w:p>
        </w:tc>
      </w:tr>
    </w:tbl>
    <w:p>
      <w:pPr>
        <w:pStyle w:val="Heading3"/>
      </w:pPr>
      <w:r>
        <w:t>2.3 性能验收标准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API响应时间</w:t>
            </w:r>
          </w:p>
        </w:tc>
        <w:tc>
          <w:tcPr>
            <w:tcW w:type="dxa" w:w="2160"/>
          </w:tcPr>
          <w:p>
            <w:r>
              <w:t>P95&lt;200ms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并发能力</w:t>
            </w:r>
          </w:p>
        </w:tc>
        <w:tc>
          <w:tcPr>
            <w:tcW w:type="dxa" w:w="2160"/>
          </w:tcPr>
          <w:p>
            <w:r>
              <w:t>200并发无错误</w:t>
            </w:r>
          </w:p>
        </w:tc>
        <w:tc>
          <w:tcPr>
            <w:tcW w:type="dxa" w:w="2160"/>
          </w:tcPr>
          <w:p>
            <w:r>
              <w:t>压力测试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缓存命中率</w:t>
            </w:r>
          </w:p>
        </w:tc>
        <w:tc>
          <w:tcPr>
            <w:tcW w:type="dxa" w:w="2160"/>
          </w:tcPr>
          <w:p>
            <w:r>
              <w:t>&gt;=80%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部署时间</w:t>
            </w:r>
          </w:p>
        </w:tc>
        <w:tc>
          <w:tcPr>
            <w:tcW w:type="dxa" w:w="2160"/>
          </w:tcPr>
          <w:p>
            <w:r>
              <w:t>&lt;=30分钟</w:t>
            </w:r>
          </w:p>
        </w:tc>
        <w:tc>
          <w:tcPr>
            <w:tcW w:type="dxa" w:w="2160"/>
          </w:tcPr>
          <w:p>
            <w:r>
              <w:t>计时测试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故障恢复时间</w:t>
            </w:r>
          </w:p>
        </w:tc>
        <w:tc>
          <w:tcPr>
            <w:tcW w:type="dxa" w:w="2160"/>
          </w:tcPr>
          <w:p>
            <w:r>
              <w:t>&lt;=30分钟</w:t>
            </w:r>
          </w:p>
        </w:tc>
        <w:tc>
          <w:tcPr>
            <w:tcW w:type="dxa" w:w="2160"/>
          </w:tcPr>
          <w:p>
            <w:r>
              <w:t>故障演练</w:t>
            </w:r>
          </w:p>
        </w:tc>
      </w:tr>
    </w:tbl>
    <w:p>
      <w:pPr>
        <w:pStyle w:val="Heading3"/>
      </w:pPr>
      <w:r>
        <w:t>2.4 安全验收标准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密码加密</w:t>
            </w:r>
          </w:p>
        </w:tc>
        <w:tc>
          <w:tcPr>
            <w:tcW w:type="dxa" w:w="2160"/>
          </w:tcPr>
          <w:p>
            <w:r>
              <w:t>bcrypt加密存储</w:t>
            </w:r>
          </w:p>
        </w:tc>
        <w:tc>
          <w:tcPr>
            <w:tcW w:type="dxa" w:w="2160"/>
          </w:tcPr>
          <w:p>
            <w:r>
              <w:t>代码审查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API认证</w:t>
            </w:r>
          </w:p>
        </w:tc>
        <w:tc>
          <w:tcPr>
            <w:tcW w:type="dxa" w:w="2160"/>
          </w:tcPr>
          <w:p>
            <w:r>
              <w:t>无Key请求被拒绝</w:t>
            </w:r>
          </w:p>
        </w:tc>
        <w:tc>
          <w:tcPr>
            <w:tcW w:type="dxa" w:w="2160"/>
          </w:tcPr>
          <w:p>
            <w:r>
              <w:t>安全测试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数据隔离</w:t>
            </w:r>
          </w:p>
        </w:tc>
        <w:tc>
          <w:tcPr>
            <w:tcW w:type="dxa" w:w="2160"/>
          </w:tcPr>
          <w:p>
            <w:r>
              <w:t>租户间数据完全隔离</w:t>
            </w:r>
          </w:p>
        </w:tc>
        <w:tc>
          <w:tcPr>
            <w:tcW w:type="dxa" w:w="2160"/>
          </w:tcPr>
          <w:p>
            <w:r>
              <w:t>安全测试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防暴力破解</w:t>
            </w:r>
          </w:p>
        </w:tc>
        <w:tc>
          <w:tcPr>
            <w:tcW w:type="dxa" w:w="2160"/>
          </w:tcPr>
          <w:p>
            <w:r>
              <w:t>5次失败锁定30分钟</w:t>
            </w:r>
          </w:p>
        </w:tc>
        <w:tc>
          <w:tcPr>
            <w:tcW w:type="dxa" w:w="2160"/>
          </w:tcPr>
          <w:p>
            <w:r>
              <w:t>安全测试</w:t>
            </w:r>
          </w:p>
        </w:tc>
      </w:tr>
    </w:tbl>
    <w:p/>
    <w:p>
      <w:pPr>
        <w:pStyle w:val="Heading2"/>
      </w:pPr>
      <w:r>
        <w:t>第三章 项目周期与里程碑</w:t>
      </w:r>
    </w:p>
    <w:p>
      <w:pPr>
        <w:pStyle w:val="Heading3"/>
      </w:pPr>
      <w:r>
        <w:t>3.1 项目周期</w:t>
      </w:r>
    </w:p>
    <w:p>
      <w:pPr>
        <w:pStyle w:val="ListBullet"/>
      </w:pPr>
      <w:r>
        <w:t>**项目总工期**：12周</w:t>
      </w:r>
    </w:p>
    <w:p>
      <w:pPr>
        <w:pStyle w:val="ListBullet"/>
      </w:pPr>
      <w:r>
        <w:t>**计划开始日期**：2026-04-16</w:t>
      </w:r>
    </w:p>
    <w:p>
      <w:pPr>
        <w:pStyle w:val="ListBullet"/>
      </w:pPr>
      <w:r>
        <w:t>**计划结束日期**：2026-07-08</w:t>
      </w:r>
    </w:p>
    <w:p>
      <w:pPr>
        <w:pStyle w:val="Heading3"/>
      </w:pPr>
      <w:r>
        <w:t>3.2 阶段划分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阶段一</w:t>
            </w:r>
          </w:p>
        </w:tc>
        <w:tc>
          <w:tcPr>
            <w:tcW w:type="dxa" w:w="2160"/>
          </w:tcPr>
          <w:p>
            <w:r>
              <w:t>现状盘清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Dockerfile、可运行镜像</w:t>
            </w:r>
          </w:p>
        </w:tc>
      </w:tr>
      <w:tr>
        <w:tc>
          <w:tcPr>
            <w:tcW w:type="dxa" w:w="2160"/>
          </w:tcPr>
          <w:p>
            <w:r>
              <w:t>阶段二</w:t>
            </w:r>
          </w:p>
        </w:tc>
        <w:tc>
          <w:tcPr>
            <w:tcW w:type="dxa" w:w="2160"/>
          </w:tcPr>
          <w:p>
            <w:r>
              <w:t>产品化骨架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  <w:tc>
          <w:tcPr>
            <w:tcW w:type="dxa" w:w="2160"/>
          </w:tcPr>
          <w:p>
            <w:r>
              <w:t>认证体系、API骨架</w:t>
            </w:r>
          </w:p>
        </w:tc>
      </w:tr>
      <w:tr>
        <w:tc>
          <w:tcPr>
            <w:tcW w:type="dxa" w:w="2160"/>
          </w:tcPr>
          <w:p>
            <w:r>
              <w:t>阶段三</w:t>
            </w:r>
          </w:p>
        </w:tc>
        <w:tc>
          <w:tcPr>
            <w:tcW w:type="dxa" w:w="2160"/>
          </w:tcPr>
          <w:p>
            <w:r>
              <w:t>可部署架构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一键部署能力</w:t>
            </w:r>
          </w:p>
        </w:tc>
      </w:tr>
      <w:tr>
        <w:tc>
          <w:tcPr>
            <w:tcW w:type="dxa" w:w="2160"/>
          </w:tcPr>
          <w:p>
            <w:r>
              <w:t>阶段四</w:t>
            </w:r>
          </w:p>
        </w:tc>
        <w:tc>
          <w:tcPr>
            <w:tcW w:type="dxa" w:w="2160"/>
          </w:tcPr>
          <w:p>
            <w:r>
              <w:t>管理后台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完整管理后台</w:t>
            </w:r>
          </w:p>
        </w:tc>
      </w:tr>
      <w:tr>
        <w:tc>
          <w:tcPr>
            <w:tcW w:type="dxa" w:w="2160"/>
          </w:tcPr>
          <w:p>
            <w:r>
              <w:t>阶段五</w:t>
            </w:r>
          </w:p>
        </w:tc>
        <w:tc>
          <w:tcPr>
            <w:tcW w:type="dxa" w:w="2160"/>
          </w:tcPr>
          <w:p>
            <w:r>
              <w:t>交付保障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  <w:tc>
          <w:tcPr>
            <w:tcW w:type="dxa" w:w="2160"/>
          </w:tcPr>
          <w:p>
            <w:r>
              <w:t>文档、测试、验收</w:t>
            </w:r>
          </w:p>
        </w:tc>
      </w:tr>
    </w:tbl>
    <w:p>
      <w:pPr>
        <w:pStyle w:val="Heading3"/>
      </w:pPr>
      <w:r>
        <w:t>3.3 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M1 - 现状盘清完成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容器化完成，代码审计报告</w:t>
            </w:r>
          </w:p>
        </w:tc>
      </w:tr>
      <w:tr>
        <w:tc>
          <w:tcPr>
            <w:tcW w:type="dxa" w:w="2880"/>
          </w:tcPr>
          <w:p>
            <w:r>
              <w:t>M2 - 骨架完成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认证可用，API可测试</w:t>
            </w:r>
          </w:p>
        </w:tc>
      </w:tr>
      <w:tr>
        <w:tc>
          <w:tcPr>
            <w:tcW w:type="dxa" w:w="2880"/>
          </w:tcPr>
          <w:p>
            <w:r>
              <w:t>M3 - 可部署版完成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一键部署成功</w:t>
            </w:r>
          </w:p>
        </w:tc>
      </w:tr>
      <w:tr>
        <w:tc>
          <w:tcPr>
            <w:tcW w:type="dxa" w:w="2880"/>
          </w:tcPr>
          <w:p>
            <w:r>
              <w:t>M4 - 管理后台完成</w:t>
            </w:r>
          </w:p>
        </w:tc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后台功能完整</w:t>
            </w:r>
          </w:p>
        </w:tc>
      </w:tr>
      <w:tr>
        <w:tc>
          <w:tcPr>
            <w:tcW w:type="dxa" w:w="2880"/>
          </w:tcPr>
          <w:p>
            <w:r>
              <w:t>M5 - 文档交付完成</w:t>
            </w:r>
          </w:p>
        </w:tc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全部文档可用</w:t>
            </w:r>
          </w:p>
        </w:tc>
      </w:tr>
      <w:tr>
        <w:tc>
          <w:tcPr>
            <w:tcW w:type="dxa" w:w="2880"/>
          </w:tcPr>
          <w:p>
            <w:r>
              <w:t>M6 - 验收通过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测试通过，甲方签字</w:t>
            </w:r>
          </w:p>
        </w:tc>
      </w:tr>
    </w:tbl>
    <w:p/>
    <w:p>
      <w:pPr>
        <w:pStyle w:val="Heading2"/>
      </w:pPr>
      <w:r>
        <w:t>第四章 双方责任</w:t>
      </w:r>
    </w:p>
    <w:p>
      <w:pPr>
        <w:pStyle w:val="Heading3"/>
      </w:pPr>
      <w:r>
        <w:t>4.1 甲方责任</w:t>
      </w:r>
    </w:p>
    <w:p>
      <w:pPr>
        <w:pStyle w:val="ListNumber"/>
      </w:pPr>
      <w:r>
        <w:t>1. **项目管理**</w:t>
      </w:r>
    </w:p>
    <w:p>
      <w:pPr>
        <w:pStyle w:val="ListBullet"/>
      </w:pPr>
      <w:r>
        <w:t>指定项目负责人</w:t>
      </w:r>
    </w:p>
    <w:p>
      <w:pPr>
        <w:pStyle w:val="ListBullet"/>
      </w:pPr>
      <w:r>
        <w:t>组织里程碑评审</w:t>
      </w:r>
    </w:p>
    <w:p>
      <w:pPr>
        <w:pStyle w:val="ListBullet"/>
      </w:pPr>
      <w:r>
        <w:t>审批项目变更</w:t>
      </w:r>
    </w:p>
    <w:p>
      <w:pPr>
        <w:pStyle w:val="ListNumber"/>
      </w:pPr>
      <w:r>
        <w:t>2. **资源配合**</w:t>
      </w:r>
    </w:p>
    <w:p>
      <w:pPr>
        <w:pStyle w:val="ListBullet"/>
      </w:pPr>
      <w:r>
        <w:t>提供开发服务器资源</w:t>
      </w:r>
    </w:p>
    <w:p>
      <w:pPr>
        <w:pStyle w:val="ListBullet"/>
      </w:pPr>
      <w:r>
        <w:t>提供测试环境</w:t>
      </w:r>
    </w:p>
    <w:p>
      <w:pPr>
        <w:pStyle w:val="ListBullet"/>
      </w:pPr>
      <w:r>
        <w:t>提供域名和SSL证书（如需）</w:t>
      </w:r>
    </w:p>
    <w:p>
      <w:pPr>
        <w:pStyle w:val="ListNumber"/>
      </w:pPr>
      <w:r>
        <w:t>3. **需求确认**</w:t>
      </w:r>
    </w:p>
    <w:p>
      <w:pPr>
        <w:pStyle w:val="ListBullet"/>
      </w:pPr>
      <w:r>
        <w:t>确认需求规格</w:t>
      </w:r>
    </w:p>
    <w:p>
      <w:pPr>
        <w:pStyle w:val="ListBullet"/>
      </w:pPr>
      <w:r>
        <w:t>验收项目交付物</w:t>
      </w:r>
    </w:p>
    <w:p>
      <w:pPr>
        <w:pStyle w:val="ListBullet"/>
      </w:pPr>
      <w:r>
        <w:t>提供业务反馈</w:t>
      </w:r>
    </w:p>
    <w:p>
      <w:pPr>
        <w:pStyle w:val="ListNumber"/>
      </w:pPr>
      <w:r>
        <w:t>4. **环境准备**</w:t>
      </w:r>
    </w:p>
    <w:p>
      <w:pPr>
        <w:pStyle w:val="ListBullet"/>
      </w:pPr>
      <w:r>
        <w:t>准备生产环境服务器</w:t>
      </w:r>
    </w:p>
    <w:p>
      <w:pPr>
        <w:pStyle w:val="ListBullet"/>
      </w:pPr>
      <w:r>
        <w:t>配置域名解析</w:t>
      </w:r>
    </w:p>
    <w:p>
      <w:pPr>
        <w:pStyle w:val="ListBullet"/>
      </w:pPr>
      <w:r>
        <w:t>提供必要的第三方服务账号</w:t>
      </w:r>
    </w:p>
    <w:p>
      <w:pPr>
        <w:pStyle w:val="Heading3"/>
      </w:pPr>
      <w:r>
        <w:t>4.2 乙方责任</w:t>
      </w:r>
    </w:p>
    <w:p>
      <w:pPr>
        <w:pStyle w:val="ListNumber"/>
      </w:pPr>
      <w:r>
        <w:t>1. **项目管理**</w:t>
      </w:r>
    </w:p>
    <w:p>
      <w:pPr>
        <w:pStyle w:val="ListBullet"/>
      </w:pPr>
      <w:r>
        <w:t>制定详细项目计划</w:t>
      </w:r>
    </w:p>
    <w:p>
      <w:pPr>
        <w:pStyle w:val="ListBullet"/>
      </w:pPr>
      <w:r>
        <w:t>跟踪项目进度</w:t>
      </w:r>
    </w:p>
    <w:p>
      <w:pPr>
        <w:pStyle w:val="ListBullet"/>
      </w:pPr>
      <w:r>
        <w:t>定期汇报项目状态</w:t>
      </w:r>
    </w:p>
    <w:p>
      <w:pPr>
        <w:pStyle w:val="ListBullet"/>
      </w:pPr>
      <w:r>
        <w:t>及时预警风险和问题</w:t>
      </w:r>
    </w:p>
    <w:p>
      <w:pPr>
        <w:pStyle w:val="ListNumber"/>
      </w:pPr>
      <w:r>
        <w:t>2. **技术实施**</w:t>
      </w:r>
    </w:p>
    <w:p>
      <w:pPr>
        <w:pStyle w:val="ListBullet"/>
      </w:pPr>
      <w:r>
        <w:t>完成技术方案设计</w:t>
      </w:r>
    </w:p>
    <w:p>
      <w:pPr>
        <w:pStyle w:val="ListBullet"/>
      </w:pPr>
      <w:r>
        <w:t>完成代码开发</w:t>
      </w:r>
    </w:p>
    <w:p>
      <w:pPr>
        <w:pStyle w:val="ListBullet"/>
      </w:pPr>
      <w:r>
        <w:t>完成测试工作</w:t>
      </w:r>
    </w:p>
    <w:p>
      <w:pPr>
        <w:pStyle w:val="ListBullet"/>
      </w:pPr>
      <w:r>
        <w:t>完成文档编写</w:t>
      </w:r>
    </w:p>
    <w:p>
      <w:pPr>
        <w:pStyle w:val="ListNumber"/>
      </w:pPr>
      <w:r>
        <w:t>3. **质量保证**</w:t>
      </w:r>
    </w:p>
    <w:p>
      <w:pPr>
        <w:pStyle w:val="ListBullet"/>
      </w:pPr>
      <w:r>
        <w:t>遵循代码规范</w:t>
      </w:r>
    </w:p>
    <w:p>
      <w:pPr>
        <w:pStyle w:val="ListBullet"/>
      </w:pPr>
      <w:r>
        <w:t>确保测试覆盖率</w:t>
      </w:r>
    </w:p>
    <w:p>
      <w:pPr>
        <w:pStyle w:val="ListBullet"/>
      </w:pPr>
      <w:r>
        <w:t>进行代码评审</w:t>
      </w:r>
    </w:p>
    <w:p>
      <w:pPr>
        <w:pStyle w:val="ListBullet"/>
      </w:pPr>
      <w:r>
        <w:t>修复缺陷</w:t>
      </w:r>
    </w:p>
    <w:p>
      <w:pPr>
        <w:pStyle w:val="ListNumber"/>
      </w:pPr>
      <w:r>
        <w:t>4. **交付支持**</w:t>
      </w:r>
    </w:p>
    <w:p>
      <w:pPr>
        <w:pStyle w:val="ListBullet"/>
      </w:pPr>
      <w:r>
        <w:t>协助部署上线</w:t>
      </w:r>
    </w:p>
    <w:p>
      <w:pPr>
        <w:pStyle w:val="ListBullet"/>
      </w:pPr>
      <w:r>
        <w:t>提供技术支持</w:t>
      </w:r>
    </w:p>
    <w:p>
      <w:pPr>
        <w:pStyle w:val="ListBullet"/>
      </w:pPr>
      <w:r>
        <w:t>进行知识转移</w:t>
      </w:r>
    </w:p>
    <w:p/>
    <w:p>
      <w:pPr>
        <w:pStyle w:val="Heading2"/>
      </w:pPr>
      <w:r>
        <w:t>第五章 项目团队</w:t>
      </w:r>
    </w:p>
    <w:p>
      <w:pPr>
        <w:pStyle w:val="Heading3"/>
      </w:pPr>
      <w:r>
        <w:t>5.1 乙方团队配置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项目管理、进度跟踪、客户沟通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</w:tr>
      <w:tr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技术方案、架构设计、代码评审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</w:tr>
      <w:tr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API开发、管理后台、集成</w:t>
            </w:r>
          </w:p>
        </w:tc>
        <w:tc>
          <w:tcPr>
            <w:tcW w:type="dxa" w:w="2160"/>
          </w:tcPr>
          <w:p>
            <w:r>
              <w:t>阶段2-5</w:t>
            </w:r>
          </w:p>
        </w:tc>
      </w:tr>
      <w:tr>
        <w:tc>
          <w:tcPr>
            <w:tcW w:type="dxa" w:w="2160"/>
          </w:tcPr>
          <w:p>
            <w:r>
              <w:t>DevOps工程师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容器化、部署架构、运维工具</w:t>
            </w:r>
          </w:p>
        </w:tc>
        <w:tc>
          <w:tcPr>
            <w:tcW w:type="dxa" w:w="2160"/>
          </w:tcPr>
          <w:p>
            <w:r>
              <w:t>阶段1,3,5</w:t>
            </w:r>
          </w:p>
        </w:tc>
      </w:tr>
      <w:tr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测试设计、测试执行、缺陷跟踪</w:t>
            </w:r>
          </w:p>
        </w:tc>
        <w:tc>
          <w:tcPr>
            <w:tcW w:type="dxa" w:w="2160"/>
          </w:tcPr>
          <w:p>
            <w:r>
              <w:t>阶段2-5</w:t>
            </w:r>
          </w:p>
        </w:tc>
      </w:tr>
    </w:tbl>
    <w:p>
      <w:pPr>
        <w:pStyle w:val="Heading3"/>
      </w:pPr>
      <w:r>
        <w:t>5.2 甲方团队配置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项目负责人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需求确认、验收决策</w:t>
            </w:r>
          </w:p>
        </w:tc>
        <w:tc>
          <w:tcPr>
            <w:tcW w:type="dxa" w:w="2160"/>
          </w:tcPr>
          <w:p>
            <w:r>
              <w:t>里程碑点</w:t>
            </w:r>
          </w:p>
        </w:tc>
      </w:tr>
      <w:tr>
        <w:tc>
          <w:tcPr>
            <w:tcW w:type="dxa" w:w="2160"/>
          </w:tcPr>
          <w:p>
            <w:r>
              <w:t>业务对接人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需求沟通、业务反馈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</w:tr>
      <w:tr>
        <w:tc>
          <w:tcPr>
            <w:tcW w:type="dxa" w:w="2160"/>
          </w:tcPr>
          <w:p>
            <w:r>
              <w:t>运维对接人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环境配合、部署支持</w:t>
            </w:r>
          </w:p>
        </w:tc>
        <w:tc>
          <w:tcPr>
            <w:tcW w:type="dxa" w:w="2160"/>
          </w:tcPr>
          <w:p>
            <w:r>
              <w:t>阶段5</w:t>
            </w:r>
          </w:p>
        </w:tc>
      </w:tr>
    </w:tbl>
    <w:p/>
    <w:p>
      <w:pPr>
        <w:pStyle w:val="Heading2"/>
      </w:pPr>
      <w:r>
        <w:t>第六章 项目沟通</w:t>
      </w:r>
    </w:p>
    <w:p>
      <w:pPr>
        <w:pStyle w:val="Heading3"/>
      </w:pPr>
      <w:r>
        <w:t>6.1 沟通机制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项目启动会</w:t>
            </w:r>
          </w:p>
        </w:tc>
        <w:tc>
          <w:tcPr>
            <w:tcW w:type="dxa" w:w="1728"/>
          </w:tcPr>
          <w:p>
            <w:r>
              <w:t>项目开始</w:t>
            </w:r>
          </w:p>
        </w:tc>
        <w:tc>
          <w:tcPr>
            <w:tcW w:type="dxa" w:w="1728"/>
          </w:tcPr>
          <w:p>
            <w:r>
              <w:t>全体</w:t>
            </w:r>
          </w:p>
        </w:tc>
        <w:tc>
          <w:tcPr>
            <w:tcW w:type="dxa" w:w="1728"/>
          </w:tcPr>
          <w:p>
            <w:r>
              <w:t>线下/线上</w:t>
            </w:r>
          </w:p>
        </w:tc>
        <w:tc>
          <w:tcPr>
            <w:tcW w:type="dxa" w:w="1728"/>
          </w:tcPr>
          <w:p>
            <w:r>
              <w:t>会议纪要</w:t>
            </w:r>
          </w:p>
        </w:tc>
      </w:tr>
      <w:tr>
        <w:tc>
          <w:tcPr>
            <w:tcW w:type="dxa" w:w="1728"/>
          </w:tcPr>
          <w:p>
            <w:r>
              <w:t>每日站会</w:t>
            </w:r>
          </w:p>
        </w:tc>
        <w:tc>
          <w:tcPr>
            <w:tcW w:type="dxa" w:w="1728"/>
          </w:tcPr>
          <w:p>
            <w:r>
              <w:t>每天</w:t>
            </w:r>
          </w:p>
        </w:tc>
        <w:tc>
          <w:tcPr>
            <w:tcW w:type="dxa" w:w="1728"/>
          </w:tcPr>
          <w:p>
            <w:r>
              <w:t>开发团队</w:t>
            </w:r>
          </w:p>
        </w:tc>
        <w:tc>
          <w:tcPr>
            <w:tcW w:type="dxa" w:w="1728"/>
          </w:tcPr>
          <w:p>
            <w:r>
              <w:t>线上</w:t>
            </w:r>
          </w:p>
        </w:tc>
        <w:tc>
          <w:tcPr>
            <w:tcW w:type="dxa" w:w="1728"/>
          </w:tcPr>
          <w:p>
            <w:r>
              <w:t>站会纪要</w:t>
            </w:r>
          </w:p>
        </w:tc>
      </w:tr>
      <w:tr>
        <w:tc>
          <w:tcPr>
            <w:tcW w:type="dxa" w:w="1728"/>
          </w:tcPr>
          <w:p>
            <w:r>
              <w:t>周例会</w:t>
            </w:r>
          </w:p>
        </w:tc>
        <w:tc>
          <w:tcPr>
            <w:tcW w:type="dxa" w:w="1728"/>
          </w:tcPr>
          <w:p>
            <w:r>
              <w:t>每周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线下/线上</w:t>
            </w:r>
          </w:p>
        </w:tc>
        <w:tc>
          <w:tcPr>
            <w:tcW w:type="dxa" w:w="1728"/>
          </w:tcPr>
          <w:p>
            <w:r>
              <w:t>周报</w:t>
            </w:r>
          </w:p>
        </w:tc>
      </w:tr>
      <w:tr>
        <w:tc>
          <w:tcPr>
            <w:tcW w:type="dxa" w:w="1728"/>
          </w:tcPr>
          <w:p>
            <w:r>
              <w:t>里程碑评审</w:t>
            </w:r>
          </w:p>
        </w:tc>
        <w:tc>
          <w:tcPr>
            <w:tcW w:type="dxa" w:w="1728"/>
          </w:tcPr>
          <w:p>
            <w:r>
              <w:t>每个里程碑</w:t>
            </w:r>
          </w:p>
        </w:tc>
        <w:tc>
          <w:tcPr>
            <w:tcW w:type="dxa" w:w="1728"/>
          </w:tcPr>
          <w:p>
            <w:r>
              <w:t>项目组+甲方</w:t>
            </w:r>
          </w:p>
        </w:tc>
        <w:tc>
          <w:tcPr>
            <w:tcW w:type="dxa" w:w="1728"/>
          </w:tcPr>
          <w:p>
            <w:r>
              <w:t>线下</w:t>
            </w:r>
          </w:p>
        </w:tc>
        <w:tc>
          <w:tcPr>
            <w:tcW w:type="dxa" w:w="1728"/>
          </w:tcPr>
          <w:p>
            <w:r>
              <w:t>评审报告</w:t>
            </w:r>
          </w:p>
        </w:tc>
      </w:tr>
      <w:tr>
        <w:tc>
          <w:tcPr>
            <w:tcW w:type="dxa" w:w="1728"/>
          </w:tcPr>
          <w:p>
            <w:r>
              <w:t>变更评审会</w:t>
            </w:r>
          </w:p>
        </w:tc>
        <w:tc>
          <w:tcPr>
            <w:tcW w:type="dxa" w:w="1728"/>
          </w:tcPr>
          <w:p>
            <w:r>
              <w:t>需要时</w:t>
            </w:r>
          </w:p>
        </w:tc>
        <w:tc>
          <w:tcPr>
            <w:tcW w:type="dxa" w:w="1728"/>
          </w:tcPr>
          <w:p>
            <w:r>
              <w:t>相关方</w:t>
            </w:r>
          </w:p>
        </w:tc>
        <w:tc>
          <w:tcPr>
            <w:tcW w:type="dxa" w:w="1728"/>
          </w:tcPr>
          <w:p>
            <w:r>
              <w:t>线下/线上</w:t>
            </w:r>
          </w:p>
        </w:tc>
        <w:tc>
          <w:tcPr>
            <w:tcW w:type="dxa" w:w="1728"/>
          </w:tcPr>
          <w:p>
            <w:r>
              <w:t>变更记录</w:t>
            </w:r>
          </w:p>
        </w:tc>
      </w:tr>
    </w:tbl>
    <w:p>
      <w:pPr>
        <w:pStyle w:val="Heading3"/>
      </w:pPr>
      <w:r>
        <w:t>6.2 汇报机制</w:t>
      </w:r>
    </w:p>
    <w:p>
      <w:r>
        <w:t>**周报**：每周五提交周报，包含进度、风险、问题、下周计划。</w:t>
      </w:r>
    </w:p>
    <w:p>
      <w:r>
        <w:t>**里程碑报告**：每个里程碑前提交里程碑报告，包含完成情况、验收准备、风险状态。</w:t>
      </w:r>
    </w:p>
    <w:p>
      <w:pPr>
        <w:pStyle w:val="Heading3"/>
      </w:pPr>
      <w:r>
        <w:t>6.3 沟通渠道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邮件</w:t>
            </w:r>
          </w:p>
        </w:tc>
        <w:tc>
          <w:tcPr>
            <w:tcW w:type="dxa" w:w="2880"/>
          </w:tcPr>
          <w:p>
            <w:r>
              <w:t>正式沟通、文件传递</w:t>
            </w:r>
          </w:p>
        </w:tc>
        <w:tc>
          <w:tcPr>
            <w:tcW w:type="dxa" w:w="2880"/>
          </w:tcPr>
          <w:p>
            <w:r>
              <w:t>24小时内</w:t>
            </w:r>
          </w:p>
        </w:tc>
      </w:tr>
      <w:tr>
        <w:tc>
          <w:tcPr>
            <w:tcW w:type="dxa" w:w="2880"/>
          </w:tcPr>
          <w:p>
            <w:r>
              <w:t>即时通讯</w:t>
            </w:r>
          </w:p>
        </w:tc>
        <w:tc>
          <w:tcPr>
            <w:tcW w:type="dxa" w:w="2880"/>
          </w:tcPr>
          <w:p>
            <w:r>
              <w:t>日常沟通</w:t>
            </w:r>
          </w:p>
        </w:tc>
        <w:tc>
          <w:tcPr>
            <w:tcW w:type="dxa" w:w="2880"/>
          </w:tcPr>
          <w:p>
            <w:r>
              <w:t>2小时内</w:t>
            </w:r>
          </w:p>
        </w:tc>
      </w:tr>
      <w:tr>
        <w:tc>
          <w:tcPr>
            <w:tcW w:type="dxa" w:w="2880"/>
          </w:tcPr>
          <w:p>
            <w:r>
              <w:t>视频会议</w:t>
            </w:r>
          </w:p>
        </w:tc>
        <w:tc>
          <w:tcPr>
            <w:tcW w:type="dxa" w:w="2880"/>
          </w:tcPr>
          <w:p>
            <w:r>
              <w:t>远程会议</w:t>
            </w:r>
          </w:p>
        </w:tc>
        <w:tc>
          <w:tcPr>
            <w:tcW w:type="dxa" w:w="2880"/>
          </w:tcPr>
          <w:p>
            <w:r>
              <w:t>预约</w:t>
            </w:r>
          </w:p>
        </w:tc>
      </w:tr>
      <w:tr>
        <w:tc>
          <w:tcPr>
            <w:tcW w:type="dxa" w:w="2880"/>
          </w:tcPr>
          <w:p>
            <w:r>
              <w:t>项目管理系统</w:t>
            </w:r>
          </w:p>
        </w:tc>
        <w:tc>
          <w:tcPr>
            <w:tcW w:type="dxa" w:w="2880"/>
          </w:tcPr>
          <w:p>
            <w:r>
              <w:t>任务跟踪、缺陷管理</w:t>
            </w:r>
          </w:p>
        </w:tc>
        <w:tc>
          <w:tcPr>
            <w:tcW w:type="dxa" w:w="2880"/>
          </w:tcPr>
          <w:p>
            <w:r>
              <w:t>工作时间</w:t>
            </w:r>
          </w:p>
        </w:tc>
      </w:tr>
    </w:tbl>
    <w:p/>
    <w:p>
      <w:pPr>
        <w:pStyle w:val="Heading2"/>
      </w:pPr>
      <w:r>
        <w:t>第七章 变更管理</w:t>
      </w:r>
    </w:p>
    <w:p>
      <w:pPr>
        <w:pStyle w:val="Heading3"/>
      </w:pPr>
      <w:r>
        <w:t>7.1 变更流程</w:t>
      </w:r>
    </w:p>
    <w:p>
      <w:pPr>
        <w:ind w:left="432"/>
      </w:pPr>
      <w:r>
        <w:rPr>
          <w:rFonts w:ascii="Consolas" w:hAnsi="Consolas"/>
          <w:sz w:val="18"/>
        </w:rPr>
        <w:t>变更请求 ──► 变更评估 ──► 变更审批 ──► 变更实施 ──► 变更确认</w:t>
        <w:br/>
        <w:t xml:space="preserve">    │           │            │            │            │</w:t>
        <w:br/>
        <w:t xml:space="preserve">    └───────────┴────────────┴────────────┴────────────┘</w:t>
        <w:br/>
        <w:t xml:space="preserve">                    变更评审委员会</w:t>
      </w:r>
    </w:p>
    <w:p>
      <w:pPr>
        <w:pStyle w:val="Heading3"/>
      </w:pPr>
      <w:r>
        <w:t>7.2 变更分级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重大变更</w:t>
            </w:r>
          </w:p>
        </w:tc>
        <w:tc>
          <w:tcPr>
            <w:tcW w:type="dxa" w:w="2160"/>
          </w:tcPr>
          <w:p>
            <w:r>
              <w:t>影响里程碑、预算、范围</w:t>
            </w:r>
          </w:p>
        </w:tc>
        <w:tc>
          <w:tcPr>
            <w:tcW w:type="dxa" w:w="2160"/>
          </w:tcPr>
          <w:p>
            <w:r>
              <w:t>项目发起人</w:t>
            </w:r>
          </w:p>
        </w:tc>
        <w:tc>
          <w:tcPr>
            <w:tcW w:type="dxa" w:w="2160"/>
          </w:tcPr>
          <w:p>
            <w:r>
              <w:t>项目级</w:t>
            </w:r>
          </w:p>
        </w:tc>
      </w:tr>
      <w:tr>
        <w:tc>
          <w:tcPr>
            <w:tcW w:type="dxa" w:w="2160"/>
          </w:tcPr>
          <w:p>
            <w:r>
              <w:t>一般变更</w:t>
            </w:r>
          </w:p>
        </w:tc>
        <w:tc>
          <w:tcPr>
            <w:tcW w:type="dxa" w:w="2160"/>
          </w:tcPr>
          <w:p>
            <w:r>
              <w:t>影响局部任务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任务级</w:t>
            </w:r>
          </w:p>
        </w:tc>
      </w:tr>
      <w:tr>
        <w:tc>
          <w:tcPr>
            <w:tcW w:type="dxa" w:w="2160"/>
          </w:tcPr>
          <w:p>
            <w:r>
              <w:t>紧急变更</w:t>
            </w:r>
          </w:p>
        </w:tc>
        <w:tc>
          <w:tcPr>
            <w:tcW w:type="dxa" w:w="2160"/>
          </w:tcPr>
          <w:p>
            <w:r>
              <w:t>紧急问题修复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技术级</w:t>
            </w:r>
          </w:p>
        </w:tc>
      </w:tr>
    </w:tbl>
    <w:p>
      <w:pPr>
        <w:pStyle w:val="Heading3"/>
      </w:pPr>
      <w:r>
        <w:t>7.3 变更申请格式</w:t>
      </w:r>
    </w:p>
    <w:p>
      <w:pPr>
        <w:ind w:left="432"/>
      </w:pPr>
      <w:r>
        <w:rPr>
          <w:rFonts w:ascii="Consolas" w:hAnsi="Consolas"/>
          <w:sz w:val="18"/>
        </w:rPr>
        <w:t># 变更申请单</w:t>
        <w:br/>
        <w:br/>
        <w:t>**变更编号**：CHN-XXX</w:t>
        <w:br/>
        <w:t>**申请日期**：</w:t>
        <w:br/>
        <w:t>**申请人**：</w:t>
        <w:br/>
        <w:br/>
        <w:t>## 变更内容</w:t>
        <w:br/>
        <w:t>### 当前状态</w:t>
        <w:br/>
        <w:t>[描述当前状态]</w:t>
        <w:br/>
        <w:br/>
        <w:t>### 变更内容</w:t>
        <w:br/>
        <w:t>[描述变更内容]</w:t>
        <w:br/>
        <w:br/>
        <w:t>### 变更原因</w:t>
        <w:br/>
        <w:t>[描述变更原因]</w:t>
        <w:br/>
        <w:br/>
        <w:t>## 影响分析</w:t>
        <w:br/>
        <w:t>### 进度影响</w:t>
        <w:br/>
        <w:t>[影响说明]</w:t>
        <w:br/>
        <w:br/>
        <w:t>### 成本影响</w:t>
        <w:br/>
        <w:t>[影响说明]</w:t>
        <w:br/>
        <w:br/>
        <w:t>### 质量影响</w:t>
        <w:br/>
        <w:t>[影响说明]</w:t>
        <w:br/>
        <w:br/>
        <w:t>## 审批意见</w:t>
        <w:br/>
        <w:t>- 项目经理：</w:t>
        <w:br/>
        <w:t>- 技术负责人：</w:t>
        <w:br/>
        <w:t>- 甲方代表：</w:t>
      </w:r>
    </w:p>
    <w:p/>
    <w:p>
      <w:pPr>
        <w:pStyle w:val="Heading2"/>
      </w:pPr>
      <w:r>
        <w:t>第八章 风险管理</w:t>
      </w:r>
    </w:p>
    <w:p>
      <w:pPr>
        <w:pStyle w:val="Heading3"/>
      </w:pPr>
      <w:r>
        <w:t>8.1 已知风险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许可证合规问题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启动前审计，必要时重写</w:t>
            </w:r>
          </w:p>
        </w:tc>
      </w:tr>
      <w:tr>
        <w:tc>
          <w:tcPr>
            <w:tcW w:type="dxa" w:w="2160"/>
          </w:tcPr>
          <w:p>
            <w:r>
              <w:t>技术债务超预期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第一阶段充分评估</w:t>
            </w:r>
          </w:p>
        </w:tc>
      </w:tr>
      <w:tr>
        <w:tc>
          <w:tcPr>
            <w:tcW w:type="dxa" w:w="2160"/>
          </w:tcPr>
          <w:p>
            <w:r>
              <w:t>集成困难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预留集成测试时间</w:t>
            </w:r>
          </w:p>
        </w:tc>
      </w:tr>
      <w:tr>
        <w:tc>
          <w:tcPr>
            <w:tcW w:type="dxa" w:w="2160"/>
          </w:tcPr>
          <w:p>
            <w:r>
              <w:t>人员变动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文档完善，知识共享</w:t>
            </w:r>
          </w:p>
        </w:tc>
      </w:tr>
      <w:tr>
        <w:tc>
          <w:tcPr>
            <w:tcW w:type="dxa" w:w="2160"/>
          </w:tcPr>
          <w:p>
            <w:r>
              <w:t>需求蔓延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严格变更控制</w:t>
            </w:r>
          </w:p>
        </w:tc>
      </w:tr>
    </w:tbl>
    <w:p>
      <w:pPr>
        <w:pStyle w:val="Heading3"/>
      </w:pPr>
      <w:r>
        <w:t>8.2 风险监控</w:t>
      </w:r>
    </w:p>
    <w:p>
      <w:pPr>
        <w:pStyle w:val="ListBullet"/>
      </w:pPr>
      <w:r>
        <w:t>风险清单每周更新</w:t>
      </w:r>
    </w:p>
    <w:p>
      <w:pPr>
        <w:pStyle w:val="ListBullet"/>
      </w:pPr>
      <w:r>
        <w:t>高风险事项及时升级</w:t>
      </w:r>
    </w:p>
    <w:p>
      <w:pPr>
        <w:pStyle w:val="ListBullet"/>
      </w:pPr>
      <w:r>
        <w:t>建立风险预警机制</w:t>
      </w:r>
    </w:p>
    <w:p/>
    <w:p>
      <w:pPr>
        <w:pStyle w:val="Heading2"/>
      </w:pPr>
      <w:r>
        <w:t>第九章 知识产权</w:t>
      </w:r>
    </w:p>
    <w:p>
      <w:pPr>
        <w:pStyle w:val="Heading3"/>
      </w:pPr>
      <w:r>
        <w:t>9.1 代码归属</w:t>
      </w:r>
    </w:p>
    <w:p>
      <w:r>
        <w:t>项目开发过程中产生的代码及相关成果物，知识产权归属甲方所有。</w:t>
      </w:r>
    </w:p>
    <w:p>
      <w:pPr>
        <w:pStyle w:val="Heading3"/>
      </w:pPr>
      <w:r>
        <w:t>9.2 第三方组件</w:t>
      </w:r>
    </w:p>
    <w:p>
      <w:pPr>
        <w:pStyle w:val="ListBullet"/>
      </w:pPr>
      <w:r>
        <w:t>开源组件遵循其原有许可证</w:t>
      </w:r>
    </w:p>
    <w:p>
      <w:pPr>
        <w:pStyle w:val="ListBullet"/>
      </w:pPr>
      <w:r>
        <w:t>乙方负责确认许可证合规性</w:t>
      </w:r>
    </w:p>
    <w:p>
      <w:pPr>
        <w:pStyle w:val="ListBullet"/>
      </w:pPr>
      <w:r>
        <w:t>需商业授权的组件需甲方采购</w:t>
      </w:r>
    </w:p>
    <w:p>
      <w:pPr>
        <w:pStyle w:val="Heading3"/>
      </w:pPr>
      <w:r>
        <w:t>9.3 原仓库代码</w:t>
      </w:r>
    </w:p>
    <w:p>
      <w:pPr>
        <w:pStyle w:val="ListBullet"/>
      </w:pPr>
      <w:r>
        <w:t>需确认原仓库许可证类型</w:t>
      </w:r>
    </w:p>
    <w:p>
      <w:pPr>
        <w:pStyle w:val="ListBullet"/>
      </w:pPr>
      <w:r>
        <w:t>如无商业授权，仅可参考架构设计</w:t>
      </w:r>
    </w:p>
    <w:p>
      <w:pPr>
        <w:pStyle w:val="ListBullet"/>
      </w:pPr>
      <w:r>
        <w:t>核心代码需重写以规避风险</w:t>
      </w:r>
    </w:p>
    <w:p/>
    <w:p>
      <w:pPr>
        <w:pStyle w:val="Heading2"/>
      </w:pPr>
      <w:r>
        <w:t>第十章 保密条款</w:t>
      </w:r>
    </w:p>
    <w:p>
      <w:pPr>
        <w:pStyle w:val="Heading3"/>
      </w:pPr>
      <w:r>
        <w:t>10.1 保密义务</w:t>
      </w:r>
    </w:p>
    <w:p>
      <w:r>
        <w:t>双方对项目过程中获知的对方商业秘密负有保密义务，未经对方书面同意，不得向第三方透露。</w:t>
      </w:r>
    </w:p>
    <w:p>
      <w:pPr>
        <w:pStyle w:val="Heading3"/>
      </w:pPr>
      <w:r>
        <w:t>10.2 保密期限</w:t>
      </w:r>
    </w:p>
    <w:p>
      <w:r>
        <w:t>保密义务自项目开始之日起生效，至项目结束后两年内仍然有效。</w:t>
      </w:r>
    </w:p>
    <w:p>
      <w:pPr>
        <w:pStyle w:val="Heading3"/>
      </w:pPr>
      <w:r>
        <w:t>10.3 违约责任</w:t>
      </w:r>
    </w:p>
    <w:p>
      <w:r>
        <w:t>任何一方违反保密义务，应承担相应的法律责任。</w:t>
      </w:r>
    </w:p>
    <w:p/>
    <w:p>
      <w:pPr>
        <w:pStyle w:val="Heading2"/>
      </w:pPr>
      <w:r>
        <w:t>第十一章 验收流程</w:t>
      </w:r>
    </w:p>
    <w:p>
      <w:pPr>
        <w:pStyle w:val="Heading3"/>
      </w:pPr>
      <w:r>
        <w:t>11.1 验收准备</w:t>
      </w:r>
    </w:p>
    <w:p>
      <w:pPr>
        <w:pStyle w:val="ListBullet"/>
      </w:pPr>
      <w:r>
        <w:t>完成所有开发任务</w:t>
      </w:r>
    </w:p>
    <w:p>
      <w:pPr>
        <w:pStyle w:val="ListBullet"/>
      </w:pPr>
      <w:r>
        <w:t>完成测试并通过</w:t>
      </w:r>
    </w:p>
    <w:p>
      <w:pPr>
        <w:pStyle w:val="ListBullet"/>
      </w:pPr>
      <w:r>
        <w:t>准备验收文档</w:t>
      </w:r>
    </w:p>
    <w:p>
      <w:pPr>
        <w:pStyle w:val="ListBullet"/>
      </w:pPr>
      <w:r>
        <w:t>提交验收申请</w:t>
      </w:r>
    </w:p>
    <w:p>
      <w:pPr>
        <w:pStyle w:val="Heading3"/>
      </w:pPr>
      <w:r>
        <w:t>11.2 验收执行</w:t>
      </w:r>
    </w:p>
    <w:p>
      <w:pPr>
        <w:pStyle w:val="ListBullet"/>
      </w:pPr>
      <w:r>
        <w:t>甲乙双方共同参与</w:t>
      </w:r>
    </w:p>
    <w:p>
      <w:pPr>
        <w:pStyle w:val="ListBullet"/>
      </w:pPr>
      <w:r>
        <w:t>按验收标准逐项检查</w:t>
      </w:r>
    </w:p>
    <w:p>
      <w:pPr>
        <w:pStyle w:val="ListBullet"/>
      </w:pPr>
      <w:r>
        <w:t>记录验收结果</w:t>
      </w:r>
    </w:p>
    <w:p>
      <w:pPr>
        <w:pStyle w:val="ListBullet"/>
      </w:pPr>
      <w:r>
        <w:t>修复发现的缺陷</w:t>
      </w:r>
    </w:p>
    <w:p>
      <w:pPr>
        <w:pStyle w:val="Heading3"/>
      </w:pPr>
      <w:r>
        <w:t>11.3 验收确认</w:t>
      </w:r>
    </w:p>
    <w:p>
      <w:pPr>
        <w:pStyle w:val="ListBullet"/>
      </w:pPr>
      <w:r>
        <w:t>所有P0缺陷已修复</w:t>
      </w:r>
    </w:p>
    <w:p>
      <w:pPr>
        <w:pStyle w:val="ListBullet"/>
      </w:pPr>
      <w:r>
        <w:t>验收文档齐全</w:t>
      </w:r>
    </w:p>
    <w:p>
      <w:pPr>
        <w:pStyle w:val="ListBullet"/>
      </w:pPr>
      <w:r>
        <w:t>签署验收确认书</w:t>
      </w:r>
    </w:p>
    <w:p>
      <w:pPr>
        <w:pStyle w:val="ListBullet"/>
      </w:pPr>
      <w:r>
        <w:t>项目正式结束</w:t>
      </w:r>
    </w:p>
    <w:p/>
    <w:p>
      <w:pPr>
        <w:pStyle w:val="Heading2"/>
      </w:pPr>
      <w:r>
        <w:t>第十二章 附件</w:t>
      </w:r>
    </w:p>
    <w:p>
      <w:pPr>
        <w:pStyle w:val="Heading3"/>
      </w:pPr>
      <w:r>
        <w:t>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附件A</w:t>
            </w:r>
          </w:p>
        </w:tc>
        <w:tc>
          <w:tcPr>
            <w:tcW w:type="dxa" w:w="2880"/>
          </w:tcPr>
          <w:p>
            <w:r>
              <w:t>技术架构图</w:t>
            </w:r>
          </w:p>
        </w:tc>
        <w:tc>
          <w:tcPr>
            <w:tcW w:type="dxa" w:w="2880"/>
          </w:tcPr>
          <w:p>
            <w:r>
              <w:t>系统架构设计</w:t>
            </w:r>
          </w:p>
        </w:tc>
      </w:tr>
      <w:tr>
        <w:tc>
          <w:tcPr>
            <w:tcW w:type="dxa" w:w="2880"/>
          </w:tcPr>
          <w:p>
            <w:r>
              <w:t>附件B</w:t>
            </w:r>
          </w:p>
        </w:tc>
        <w:tc>
          <w:tcPr>
            <w:tcW w:type="dxa" w:w="2880"/>
          </w:tcPr>
          <w:p>
            <w:r>
              <w:t>接口清单</w:t>
            </w:r>
          </w:p>
        </w:tc>
        <w:tc>
          <w:tcPr>
            <w:tcW w:type="dxa" w:w="2880"/>
          </w:tcPr>
          <w:p>
            <w:r>
              <w:t>API接口列表</w:t>
            </w:r>
          </w:p>
        </w:tc>
      </w:tr>
      <w:tr>
        <w:tc>
          <w:tcPr>
            <w:tcW w:type="dxa" w:w="2880"/>
          </w:tcPr>
          <w:p>
            <w:r>
              <w:t>附件C</w:t>
            </w:r>
          </w:p>
        </w:tc>
        <w:tc>
          <w:tcPr>
            <w:tcW w:type="dxa" w:w="2880"/>
          </w:tcPr>
          <w:p>
            <w:r>
              <w:t>测试用例清单</w:t>
            </w:r>
          </w:p>
        </w:tc>
        <w:tc>
          <w:tcPr>
            <w:tcW w:type="dxa" w:w="2880"/>
          </w:tcPr>
          <w:p>
            <w:r>
              <w:t>测试用例汇总</w:t>
            </w:r>
          </w:p>
        </w:tc>
      </w:tr>
      <w:tr>
        <w:tc>
          <w:tcPr>
            <w:tcW w:type="dxa" w:w="2880"/>
          </w:tcPr>
          <w:p>
            <w:r>
              <w:t>附件D</w:t>
            </w:r>
          </w:p>
        </w:tc>
        <w:tc>
          <w:tcPr>
            <w:tcW w:type="dxa" w:w="2880"/>
          </w:tcPr>
          <w:p>
            <w:r>
              <w:t>质量标准</w:t>
            </w:r>
          </w:p>
        </w:tc>
        <w:tc>
          <w:tcPr>
            <w:tcW w:type="dxa" w:w="2880"/>
          </w:tcPr>
          <w:p>
            <w:r>
              <w:t>代码质量标准</w:t>
            </w:r>
          </w:p>
        </w:tc>
      </w:tr>
    </w:tbl>
    <w:p/>
    <w:p>
      <w:pPr>
        <w:pStyle w:val="Heading2"/>
      </w:pPr>
      <w:r>
        <w:t>签署页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单位名称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签署人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签署日期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盖章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