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API服务改造项目SWOT分析与风险管理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SWOT-API-2026-001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pPr>
        <w:pStyle w:val="Heading2"/>
      </w:pPr>
      <w:r>
        <w:t>第一章 SWOT分析</w:t>
      </w:r>
    </w:p>
    <w:p>
      <w:pPr>
        <w:pStyle w:val="Heading3"/>
      </w:pPr>
      <w:r>
        <w:t>1.1 Strengths（优势）</w:t>
      </w:r>
    </w:p>
    <w:p>
      <w:pPr>
        <w:pStyle w:val="Heading4"/>
      </w:pPr>
      <w:r>
        <w:t>1.1.1 技术优势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成熟技术栈</w:t>
            </w:r>
          </w:p>
        </w:tc>
        <w:tc>
          <w:tcPr>
            <w:tcW w:type="dxa" w:w="2880"/>
          </w:tcPr>
          <w:p>
            <w:r>
              <w:t>Docker/Nginx/PostgreSQL/Redis/MinIO均为业界成熟方案，有大量社区支持和最佳实践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现代化框架</w:t>
            </w:r>
          </w:p>
        </w:tc>
        <w:tc>
          <w:tcPr>
            <w:tcW w:type="dxa" w:w="2880"/>
          </w:tcPr>
          <w:p>
            <w:r>
              <w:t>FastAPI提供高性能、自动文档、类型安全等现代特性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容器化优先</w:t>
            </w:r>
          </w:p>
        </w:tc>
        <w:tc>
          <w:tcPr>
            <w:tcW w:type="dxa" w:w="2880"/>
          </w:tcPr>
          <w:p>
            <w:r>
              <w:t>从一开始就采用容器化设计，部署一致性好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RESTful规范</w:t>
            </w:r>
          </w:p>
        </w:tc>
        <w:tc>
          <w:tcPr>
            <w:tcW w:type="dxa" w:w="2880"/>
          </w:tcPr>
          <w:p>
            <w:r>
              <w:t>API设计遵循RESTful规范，易于理解和使用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文档自动化</w:t>
            </w:r>
          </w:p>
        </w:tc>
        <w:tc>
          <w:tcPr>
            <w:tcW w:type="dxa" w:w="2880"/>
          </w:tcPr>
          <w:p>
            <w:r>
              <w:t>Swagger/OpenAPI集成，文档与代码保持同步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pPr>
        <w:pStyle w:val="Heading4"/>
      </w:pPr>
      <w:r>
        <w:t>1.1.2 组织优势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明确的改造目标</w:t>
            </w:r>
          </w:p>
        </w:tc>
        <w:tc>
          <w:tcPr>
            <w:tcW w:type="dxa" w:w="2880"/>
          </w:tcPr>
          <w:p>
            <w:r>
              <w:t>文档清晰定义了改造目标和验收标准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阶段化实施</w:t>
            </w:r>
          </w:p>
        </w:tc>
        <w:tc>
          <w:tcPr>
            <w:tcW w:type="dxa" w:w="2880"/>
          </w:tcPr>
          <w:p>
            <w:r>
              <w:t>五阶段划分合理，风险可控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小团队高效</w:t>
            </w:r>
          </w:p>
        </w:tc>
        <w:tc>
          <w:tcPr>
            <w:tcW w:type="dxa" w:w="2880"/>
          </w:tcPr>
          <w:p>
            <w:r>
              <w:t>2-3人团队沟通成本低，决策快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可参考的架构</w:t>
            </w:r>
          </w:p>
        </w:tc>
        <w:tc>
          <w:tcPr>
            <w:tcW w:type="dxa" w:w="2880"/>
          </w:tcPr>
          <w:p>
            <w:r>
              <w:t>有原仓库代码可参考，降低设计难度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pPr>
        <w:pStyle w:val="Heading3"/>
      </w:pPr>
      <w:r>
        <w:t>1.2 Weaknesses（劣势）</w:t>
      </w:r>
    </w:p>
    <w:p>
      <w:pPr>
        <w:pStyle w:val="Heading4"/>
      </w:pPr>
      <w:r>
        <w:t>1.2.1 技术劣势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技术债务风险</w:t>
            </w:r>
          </w:p>
        </w:tc>
        <w:tc>
          <w:tcPr>
            <w:tcW w:type="dxa" w:w="2160"/>
          </w:tcPr>
          <w:p>
            <w:r>
              <w:t>原代码可能存在大量技术债务，影响改造进度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第一阶段充分评估，设定边界</w:t>
            </w:r>
          </w:p>
        </w:tc>
      </w:tr>
      <w:tr>
        <w:tc>
          <w:tcPr>
            <w:tcW w:type="dxa" w:w="2160"/>
          </w:tcPr>
          <w:p>
            <w:r>
              <w:t>多组件集成</w:t>
            </w:r>
          </w:p>
        </w:tc>
        <w:tc>
          <w:tcPr>
            <w:tcW w:type="dxa" w:w="2160"/>
          </w:tcPr>
          <w:p>
            <w:r>
              <w:t>需要集成多个组件（DB/Cache/Storage），增加复杂度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预留集成测试时间</w:t>
            </w:r>
          </w:p>
        </w:tc>
      </w:tr>
      <w:tr>
        <w:tc>
          <w:tcPr>
            <w:tcW w:type="dxa" w:w="2160"/>
          </w:tcPr>
          <w:p>
            <w:r>
              <w:t>学习曲线</w:t>
            </w:r>
          </w:p>
        </w:tc>
        <w:tc>
          <w:tcPr>
            <w:tcW w:type="dxa" w:w="2160"/>
          </w:tcPr>
          <w:p>
            <w:r>
              <w:t>团队可能需要学习新技术（FastAPI、Docker Compose等）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提前安排技术培训</w:t>
            </w:r>
          </w:p>
        </w:tc>
      </w:tr>
      <w:tr>
        <w:tc>
          <w:tcPr>
            <w:tcW w:type="dxa" w:w="2160"/>
          </w:tcPr>
          <w:p>
            <w:r>
              <w:t>性能调优</w:t>
            </w:r>
          </w:p>
        </w:tc>
        <w:tc>
          <w:tcPr>
            <w:tcW w:type="dxa" w:w="2160"/>
          </w:tcPr>
          <w:p>
            <w:r>
              <w:t>高并发场景下需要性能调优经验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预留性能优化时间</w:t>
            </w:r>
          </w:p>
        </w:tc>
      </w:tr>
    </w:tbl>
    <w:p>
      <w:pPr>
        <w:pStyle w:val="Heading4"/>
      </w:pPr>
      <w:r>
        <w:t>1.2.2 组织劣势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人力有限</w:t>
            </w:r>
          </w:p>
        </w:tc>
        <w:tc>
          <w:tcPr>
            <w:tcW w:type="dxa" w:w="2160"/>
          </w:tcPr>
          <w:p>
            <w:r>
              <w:t>2-3人团队，可能存在资源瓶颈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合理分配任务，优先核心功能</w:t>
            </w:r>
          </w:p>
        </w:tc>
      </w:tr>
      <w:tr>
        <w:tc>
          <w:tcPr>
            <w:tcW w:type="dxa" w:w="2160"/>
          </w:tcPr>
          <w:p>
            <w:r>
              <w:t>经验不足</w:t>
            </w:r>
          </w:p>
        </w:tc>
        <w:tc>
          <w:tcPr>
            <w:tcW w:type="dxa" w:w="2160"/>
          </w:tcPr>
          <w:p>
            <w:r>
              <w:t>团队可能缺乏完整的API服务开发经验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引入外部咨询，加强评审</w:t>
            </w:r>
          </w:p>
        </w:tc>
      </w:tr>
      <w:tr>
        <w:tc>
          <w:tcPr>
            <w:tcW w:type="dxa" w:w="2160"/>
          </w:tcPr>
          <w:p>
            <w:r>
              <w:t>并行任务多</w:t>
            </w:r>
          </w:p>
        </w:tc>
        <w:tc>
          <w:tcPr>
            <w:tcW w:type="dxa" w:w="2160"/>
          </w:tcPr>
          <w:p>
            <w:r>
              <w:t>多个阶段可能需要并行推进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明确优先级，合理安排</w:t>
            </w:r>
          </w:p>
        </w:tc>
      </w:tr>
      <w:tr>
        <w:tc>
          <w:tcPr>
            <w:tcW w:type="dxa" w:w="2160"/>
          </w:tcPr>
          <w:p>
            <w:r>
              <w:t>文档工作量</w:t>
            </w:r>
          </w:p>
        </w:tc>
        <w:tc>
          <w:tcPr>
            <w:tcW w:type="dxa" w:w="2160"/>
          </w:tcPr>
          <w:p>
            <w:r>
              <w:t>完整文档编写需要大量时间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使用自动化工具辅助</w:t>
            </w:r>
          </w:p>
        </w:tc>
      </w:tr>
    </w:tbl>
    <w:p>
      <w:pPr>
        <w:pStyle w:val="Heading3"/>
      </w:pPr>
      <w:r>
        <w:t>1.3 Opportunities（机会）</w:t>
      </w:r>
    </w:p>
    <w:p>
      <w:pPr>
        <w:pStyle w:val="Heading4"/>
      </w:pPr>
      <w:r>
        <w:t>1.3.1 市场机会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API经济兴起</w:t>
            </w:r>
          </w:p>
        </w:tc>
        <w:tc>
          <w:tcPr>
            <w:tcW w:type="dxa" w:w="2880"/>
          </w:tcPr>
          <w:p>
            <w:r>
              <w:t>越来越多的企业需要API服务，市场需求增长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SaaS化趋势</w:t>
            </w:r>
          </w:p>
        </w:tc>
        <w:tc>
          <w:tcPr>
            <w:tcW w:type="dxa" w:w="2880"/>
          </w:tcPr>
          <w:p>
            <w:r>
              <w:t>API服务可以快速拓展到多租户SaaS模式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数字化转型</w:t>
            </w:r>
          </w:p>
        </w:tc>
        <w:tc>
          <w:tcPr>
            <w:tcW w:type="dxa" w:w="2880"/>
          </w:tcPr>
          <w:p>
            <w:r>
              <w:t>企业数字化转型带来大量API集成需求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开发者生态</w:t>
            </w:r>
          </w:p>
        </w:tc>
        <w:tc>
          <w:tcPr>
            <w:tcW w:type="dxa" w:w="2880"/>
          </w:tcPr>
          <w:p>
            <w:r>
              <w:t>良好的API服务可以吸引开发者生态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pPr>
        <w:pStyle w:val="Heading4"/>
      </w:pPr>
      <w:r>
        <w:t>1.3.2 技术机会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开源组件成熟</w:t>
            </w:r>
          </w:p>
        </w:tc>
        <w:tc>
          <w:tcPr>
            <w:tcW w:type="dxa" w:w="2880"/>
          </w:tcPr>
          <w:p>
            <w:r>
              <w:t>开源生态丰富，降低技术成本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云原生趋势</w:t>
            </w:r>
          </w:p>
        </w:tc>
        <w:tc>
          <w:tcPr>
            <w:tcW w:type="dxa" w:w="2880"/>
          </w:tcPr>
          <w:p>
            <w:r>
              <w:t>Docker/容器化技术趋势，人才易招聘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自动化工具</w:t>
            </w:r>
          </w:p>
        </w:tc>
        <w:tc>
          <w:tcPr>
            <w:tcW w:type="dxa" w:w="2880"/>
          </w:tcPr>
          <w:p>
            <w:r>
              <w:t>CI/CD、监控等工具成熟，提升效率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AI辅助开发</w:t>
            </w:r>
          </w:p>
        </w:tc>
        <w:tc>
          <w:tcPr>
            <w:tcW w:type="dxa" w:w="2880"/>
          </w:tcPr>
          <w:p>
            <w:r>
              <w:t>AI工具可提升开发效率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pPr>
        <w:pStyle w:val="Heading3"/>
      </w:pPr>
      <w:r>
        <w:t>1.4 Threats（威胁）</w:t>
      </w:r>
    </w:p>
    <w:p>
      <w:pPr>
        <w:pStyle w:val="Heading4"/>
      </w:pPr>
      <w:r>
        <w:t>1.4.1 技术威胁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许可证风险</w:t>
            </w:r>
          </w:p>
        </w:tc>
        <w:tc>
          <w:tcPr>
            <w:tcW w:type="dxa" w:w="1728"/>
          </w:tcPr>
          <w:p>
            <w:r>
              <w:t>原仓库许可证限制可能导致无法商业化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启动前审计，必要时重写</w:t>
            </w:r>
          </w:p>
        </w:tc>
      </w:tr>
      <w:tr>
        <w:tc>
          <w:tcPr>
            <w:tcW w:type="dxa" w:w="1728"/>
          </w:tcPr>
          <w:p>
            <w:r>
              <w:t>安全漏洞</w:t>
            </w:r>
          </w:p>
        </w:tc>
        <w:tc>
          <w:tcPr>
            <w:tcW w:type="dxa" w:w="1728"/>
          </w:tcPr>
          <w:p>
            <w:r>
              <w:t>开源组件可能存在安全漏洞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定期安全更新，建立监控</w:t>
            </w:r>
          </w:p>
        </w:tc>
      </w:tr>
      <w:tr>
        <w:tc>
          <w:tcPr>
            <w:tcW w:type="dxa" w:w="1728"/>
          </w:tcPr>
          <w:p>
            <w:r>
              <w:t>技术过时</w:t>
            </w:r>
          </w:p>
        </w:tc>
        <w:tc>
          <w:tcPr>
            <w:tcW w:type="dxa" w:w="1728"/>
          </w:tcPr>
          <w:p>
            <w:r>
              <w:t>技术选型可能快速过时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选择主流稳定版本</w:t>
            </w:r>
          </w:p>
        </w:tc>
      </w:tr>
      <w:tr>
        <w:tc>
          <w:tcPr>
            <w:tcW w:type="dxa" w:w="1728"/>
          </w:tcPr>
          <w:p>
            <w:r>
              <w:t>性能瓶颈</w:t>
            </w:r>
          </w:p>
        </w:tc>
        <w:tc>
          <w:tcPr>
            <w:tcW w:type="dxa" w:w="1728"/>
          </w:tcPr>
          <w:p>
            <w:r>
              <w:t>高并发场景可能出现性能问题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预留优化时间，设计扩展性</w:t>
            </w:r>
          </w:p>
        </w:tc>
      </w:tr>
    </w:tbl>
    <w:p>
      <w:pPr>
        <w:pStyle w:val="Heading4"/>
      </w:pPr>
      <w:r>
        <w:t>1.4.2 市场威胁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竞争压力</w:t>
            </w:r>
          </w:p>
        </w:tc>
        <w:tc>
          <w:tcPr>
            <w:tcW w:type="dxa" w:w="1728"/>
          </w:tcPr>
          <w:p>
            <w:r>
              <w:t>市场上已有类似API服务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差异化竞争，聚焦核心功能</w:t>
            </w:r>
          </w:p>
        </w:tc>
      </w:tr>
      <w:tr>
        <w:tc>
          <w:tcPr>
            <w:tcW w:type="dxa" w:w="1728"/>
          </w:tcPr>
          <w:p>
            <w:r>
              <w:t>需求变更</w:t>
            </w:r>
          </w:p>
        </w:tc>
        <w:tc>
          <w:tcPr>
            <w:tcW w:type="dxa" w:w="1728"/>
          </w:tcPr>
          <w:p>
            <w:r>
              <w:t>客户需求可能发生变更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严格变更控制</w:t>
            </w:r>
          </w:p>
        </w:tc>
      </w:tr>
      <w:tr>
        <w:tc>
          <w:tcPr>
            <w:tcW w:type="dxa" w:w="1728"/>
          </w:tcPr>
          <w:p>
            <w:r>
              <w:t>交付延迟</w:t>
            </w:r>
          </w:p>
        </w:tc>
        <w:tc>
          <w:tcPr>
            <w:tcW w:type="dxa" w:w="1728"/>
          </w:tcPr>
          <w:p>
            <w:r>
              <w:t>项目可能延期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合理规划，预留缓冲</w:t>
            </w:r>
          </w:p>
        </w:tc>
      </w:tr>
      <w:tr>
        <w:tc>
          <w:tcPr>
            <w:tcW w:type="dxa" w:w="1728"/>
          </w:tcPr>
          <w:p>
            <w:r>
              <w:t>成本超支</w:t>
            </w:r>
          </w:p>
        </w:tc>
        <w:tc>
          <w:tcPr>
            <w:tcW w:type="dxa" w:w="1728"/>
          </w:tcPr>
          <w:p>
            <w:r>
              <w:t>开发成本可能超出预算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严格成本控制</w:t>
            </w:r>
          </w:p>
        </w:tc>
      </w:tr>
    </w:tbl>
    <w:p/>
    <w:p>
      <w:pPr>
        <w:pStyle w:val="Heading2"/>
      </w:pPr>
      <w:r>
        <w:t>第二章 风险详细分析</w:t>
      </w:r>
    </w:p>
    <w:p>
      <w:pPr>
        <w:pStyle w:val="Heading3"/>
      </w:pPr>
      <w:r>
        <w:t>2.1 风险评估矩阵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R-001</w:t>
            </w:r>
          </w:p>
        </w:tc>
        <w:tc>
          <w:tcPr>
            <w:tcW w:type="dxa" w:w="1234"/>
          </w:tcPr>
          <w:p>
            <w:r>
              <w:t>许可证合规问题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启动前审计</w:t>
            </w:r>
          </w:p>
        </w:tc>
      </w:tr>
      <w:tr>
        <w:tc>
          <w:tcPr>
            <w:tcW w:type="dxa" w:w="1234"/>
          </w:tcPr>
          <w:p>
            <w:r>
              <w:t>R-002</w:t>
            </w:r>
          </w:p>
        </w:tc>
        <w:tc>
          <w:tcPr>
            <w:tcW w:type="dxa" w:w="1234"/>
          </w:tcPr>
          <w:p>
            <w:r>
              <w:t>技术债务过多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第一阶段评估</w:t>
            </w:r>
          </w:p>
        </w:tc>
      </w:tr>
      <w:tr>
        <w:tc>
          <w:tcPr>
            <w:tcW w:type="dxa" w:w="1234"/>
          </w:tcPr>
          <w:p>
            <w:r>
              <w:t>R-003</w:t>
            </w:r>
          </w:p>
        </w:tc>
        <w:tc>
          <w:tcPr>
            <w:tcW w:type="dxa" w:w="1234"/>
          </w:tcPr>
          <w:p>
            <w:r>
              <w:t>组件集成困难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预留测试时间</w:t>
            </w:r>
          </w:p>
        </w:tc>
      </w:tr>
      <w:tr>
        <w:tc>
          <w:tcPr>
            <w:tcW w:type="dxa" w:w="1234"/>
          </w:tcPr>
          <w:p>
            <w:r>
              <w:t>R-004</w:t>
            </w:r>
          </w:p>
        </w:tc>
        <w:tc>
          <w:tcPr>
            <w:tcW w:type="dxa" w:w="1234"/>
          </w:tcPr>
          <w:p>
            <w:r>
              <w:t>性能不达标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预留优化时间</w:t>
            </w:r>
          </w:p>
        </w:tc>
      </w:tr>
      <w:tr>
        <w:tc>
          <w:tcPr>
            <w:tcW w:type="dxa" w:w="1234"/>
          </w:tcPr>
          <w:p>
            <w:r>
              <w:t>R-005</w:t>
            </w:r>
          </w:p>
        </w:tc>
        <w:tc>
          <w:tcPr>
            <w:tcW w:type="dxa" w:w="1234"/>
          </w:tcPr>
          <w:p>
            <w:r>
              <w:t>文档不完整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并行文档编写</w:t>
            </w:r>
          </w:p>
        </w:tc>
      </w:tr>
      <w:tr>
        <w:tc>
          <w:tcPr>
            <w:tcW w:type="dxa" w:w="1234"/>
          </w:tcPr>
          <w:p>
            <w:r>
              <w:t>R-006</w:t>
            </w:r>
          </w:p>
        </w:tc>
        <w:tc>
          <w:tcPr>
            <w:tcW w:type="dxa" w:w="1234"/>
          </w:tcPr>
          <w:p>
            <w:r>
              <w:t>人员技能不足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技术培训</w:t>
            </w:r>
          </w:p>
        </w:tc>
      </w:tr>
      <w:tr>
        <w:tc>
          <w:tcPr>
            <w:tcW w:type="dxa" w:w="1234"/>
          </w:tcPr>
          <w:p>
            <w:r>
              <w:t>R-007</w:t>
            </w:r>
          </w:p>
        </w:tc>
        <w:tc>
          <w:tcPr>
            <w:tcW w:type="dxa" w:w="1234"/>
          </w:tcPr>
          <w:p>
            <w:r>
              <w:t>需求蔓延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严格变更控制</w:t>
            </w:r>
          </w:p>
        </w:tc>
      </w:tr>
      <w:tr>
        <w:tc>
          <w:tcPr>
            <w:tcW w:type="dxa" w:w="1234"/>
          </w:tcPr>
          <w:p>
            <w:r>
              <w:t>R-008</w:t>
            </w:r>
          </w:p>
        </w:tc>
        <w:tc>
          <w:tcPr>
            <w:tcW w:type="dxa" w:w="1234"/>
          </w:tcPr>
          <w:p>
            <w:r>
              <w:t>进度延期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合理规划缓冲</w:t>
            </w:r>
          </w:p>
        </w:tc>
      </w:tr>
      <w:tr>
        <w:tc>
          <w:tcPr>
            <w:tcW w:type="dxa" w:w="1234"/>
          </w:tcPr>
          <w:p>
            <w:r>
              <w:t>R-009</w:t>
            </w:r>
          </w:p>
        </w:tc>
        <w:tc>
          <w:tcPr>
            <w:tcW w:type="dxa" w:w="1234"/>
          </w:tcPr>
          <w:p>
            <w:r>
              <w:t>安全漏洞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安全测试</w:t>
            </w:r>
          </w:p>
        </w:tc>
      </w:tr>
      <w:tr>
        <w:tc>
          <w:tcPr>
            <w:tcW w:type="dxa" w:w="1234"/>
          </w:tcPr>
          <w:p>
            <w:r>
              <w:t>R-010</w:t>
            </w:r>
          </w:p>
        </w:tc>
        <w:tc>
          <w:tcPr>
            <w:tcW w:type="dxa" w:w="1234"/>
          </w:tcPr>
          <w:p>
            <w:r>
              <w:t>数据丢失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备份恢复方案</w:t>
            </w:r>
          </w:p>
        </w:tc>
      </w:tr>
    </w:tbl>
    <w:p>
      <w:pPr>
        <w:pStyle w:val="Heading3"/>
      </w:pPr>
      <w:r>
        <w:t>2.2 高优先级风险详细分析</w:t>
      </w:r>
    </w:p>
    <w:p>
      <w:pPr>
        <w:pStyle w:val="Heading4"/>
      </w:pPr>
      <w:r>
        <w:t>R-001：许可证合规问题</w:t>
      </w:r>
    </w:p>
    <w:p>
      <w:r>
        <w:t>**风险描述**：</w:t>
      </w:r>
    </w:p>
    <w:p>
      <w:r>
        <w:t>原仓库可能采用GPL、AGPL等传染性许可证，或有其他使用限制，导致无法直接商业化使用。</w:t>
      </w:r>
    </w:p>
    <w:p>
      <w:r>
        <w:t>**影响分析**：</w:t>
      </w:r>
    </w:p>
    <w:p>
      <w:pPr>
        <w:pStyle w:val="ListBullet"/>
      </w:pPr>
      <w:r>
        <w:t>如果存在许可证冲突，整个项目可能需要推倒重来</w:t>
      </w:r>
    </w:p>
    <w:p>
      <w:pPr>
        <w:pStyle w:val="ListBullet"/>
      </w:pPr>
      <w:r>
        <w:t>可能面临法律诉讼风险</w:t>
      </w:r>
    </w:p>
    <w:p>
      <w:pPr>
        <w:pStyle w:val="ListBullet"/>
      </w:pPr>
      <w:r>
        <w:t>前期投入的时间和资源可能损失</w:t>
      </w:r>
    </w:p>
    <w:p>
      <w:r>
        <w:t>**发生概率**：30%</w:t>
      </w:r>
    </w:p>
    <w:p>
      <w:r>
        <w:t>**风险值**：高（6）</w:t>
      </w:r>
    </w:p>
    <w:p>
      <w:r>
        <w:t>**应对措施**：</w:t>
      </w:r>
    </w:p>
    <w:p>
      <w:pPr>
        <w:pStyle w:val="ListNumber"/>
      </w:pPr>
      <w:r>
        <w:t>1. **预防**：</w:t>
      </w:r>
    </w:p>
    <w:p>
      <w:pPr>
        <w:pStyle w:val="ListBullet"/>
      </w:pPr>
      <w:r>
        <w:t>项目启动前完成许可证审计</w:t>
      </w:r>
    </w:p>
    <w:p>
      <w:pPr>
        <w:pStyle w:val="ListBullet"/>
      </w:pPr>
      <w:r>
        <w:t>咨询法务或专业人士</w:t>
      </w:r>
    </w:p>
    <w:p>
      <w:pPr>
        <w:pStyle w:val="ListBullet"/>
      </w:pPr>
      <w:r>
        <w:t>记录所有依赖的许可证类型</w:t>
      </w:r>
    </w:p>
    <w:p>
      <w:pPr>
        <w:pStyle w:val="ListNumber"/>
      </w:pPr>
      <w:r>
        <w:t>2. **检测**：</w:t>
      </w:r>
    </w:p>
    <w:p>
      <w:pPr>
        <w:pStyle w:val="ListBullet"/>
      </w:pPr>
      <w:r>
        <w:t>使用工具扫描许可证（如FOSSA、Black Duck）</w:t>
      </w:r>
    </w:p>
    <w:p>
      <w:pPr>
        <w:pStyle w:val="ListBullet"/>
      </w:pPr>
      <w:r>
        <w:t>建立许可证清单</w:t>
      </w:r>
    </w:p>
    <w:p>
      <w:pPr>
        <w:pStyle w:val="ListNumber"/>
      </w:pPr>
      <w:r>
        <w:t>3. **应对**：</w:t>
      </w:r>
    </w:p>
    <w:p>
      <w:pPr>
        <w:pStyle w:val="ListBullet"/>
      </w:pPr>
      <w:r>
        <w:t>如有限制，仅参考架构设计</w:t>
      </w:r>
    </w:p>
    <w:p>
      <w:pPr>
        <w:pStyle w:val="ListBullet"/>
      </w:pPr>
      <w:r>
        <w:t>核心代码重写</w:t>
      </w:r>
    </w:p>
    <w:p>
      <w:pPr>
        <w:pStyle w:val="ListBullet"/>
      </w:pPr>
      <w:r>
        <w:t>寻找商业授权或替代方案</w:t>
      </w:r>
    </w:p>
    <w:p>
      <w:r>
        <w:t>**应急预案**：</w:t>
      </w:r>
    </w:p>
    <w:p>
      <w:r>
        <w:t>如果无法解决许可证问题，评估基于架构设计重新开发vs继续使用原代码的商业价值。</w:t>
      </w:r>
    </w:p>
    <w:p/>
    <w:p>
      <w:pPr>
        <w:pStyle w:val="Heading4"/>
      </w:pPr>
      <w:r>
        <w:t>R-002：技术债务过多</w:t>
      </w:r>
    </w:p>
    <w:p>
      <w:r>
        <w:t>**风险描述**：</w:t>
      </w:r>
    </w:p>
    <w:p>
      <w:r>
        <w:t>课程项目的代码质量可能不高，存在耦合度高、缺少测试、文档缺失等问题，导致改造困难。</w:t>
      </w:r>
    </w:p>
    <w:p>
      <w:r>
        <w:t>**影响分析**：</w:t>
      </w:r>
    </w:p>
    <w:p>
      <w:pPr>
        <w:pStyle w:val="ListBullet"/>
      </w:pPr>
      <w:r>
        <w:t>改造过程中可能遇到大量难以理解或修改的代码</w:t>
      </w:r>
    </w:p>
    <w:p>
      <w:pPr>
        <w:pStyle w:val="ListBullet"/>
      </w:pPr>
      <w:r>
        <w:t>需要额外时间处理技术债务</w:t>
      </w:r>
    </w:p>
    <w:p>
      <w:pPr>
        <w:pStyle w:val="ListBullet"/>
      </w:pPr>
      <w:r>
        <w:t>可能影响整体项目进度和质量</w:t>
      </w:r>
    </w:p>
    <w:p>
      <w:r>
        <w:t>**发生概率**：60%</w:t>
      </w:r>
    </w:p>
    <w:p>
      <w:r>
        <w:t>**风险值**：高（6）</w:t>
      </w:r>
    </w:p>
    <w:p>
      <w:r>
        <w:t>**应对措施**：</w:t>
      </w:r>
    </w:p>
    <w:p>
      <w:pPr>
        <w:pStyle w:val="ListNumber"/>
      </w:pPr>
      <w:r>
        <w:t>1. **预防**：</w:t>
      </w:r>
    </w:p>
    <w:p>
      <w:pPr>
        <w:pStyle w:val="ListBullet"/>
      </w:pPr>
      <w:r>
        <w:t>第一阶段投入足够时间进行技术债务评估</w:t>
      </w:r>
    </w:p>
    <w:p>
      <w:pPr>
        <w:pStyle w:val="ListBullet"/>
      </w:pPr>
      <w:r>
        <w:t>建立技术债务清单和优先级</w:t>
      </w:r>
    </w:p>
    <w:p>
      <w:pPr>
        <w:pStyle w:val="ListNumber"/>
      </w:pPr>
      <w:r>
        <w:t>2. **检测**：</w:t>
      </w:r>
    </w:p>
    <w:p>
      <w:pPr>
        <w:pStyle w:val="ListBullet"/>
      </w:pPr>
      <w:r>
        <w:t>代码静态分析（SonarQube）</w:t>
      </w:r>
    </w:p>
    <w:p>
      <w:pPr>
        <w:pStyle w:val="ListBullet"/>
      </w:pPr>
      <w:r>
        <w:t>测试覆盖率分析</w:t>
      </w:r>
    </w:p>
    <w:p>
      <w:pPr>
        <w:pStyle w:val="ListBullet"/>
      </w:pPr>
      <w:r>
        <w:t>依赖复杂度分析</w:t>
      </w:r>
    </w:p>
    <w:p>
      <w:pPr>
        <w:pStyle w:val="ListNumber"/>
      </w:pPr>
      <w:r>
        <w:t>3. **应对**：</w:t>
      </w:r>
    </w:p>
    <w:p>
      <w:pPr>
        <w:pStyle w:val="ListBullet"/>
      </w:pPr>
      <w:r>
        <w:t>设定技术债务处理的时间box</w:t>
      </w:r>
    </w:p>
    <w:p>
      <w:pPr>
        <w:pStyle w:val="ListBullet"/>
      </w:pPr>
      <w:r>
        <w:t>优先处理影响改造进度的债务</w:t>
      </w:r>
    </w:p>
    <w:p>
      <w:pPr>
        <w:pStyle w:val="ListBullet"/>
      </w:pPr>
      <w:r>
        <w:t>记录无法处理但需要关注的债务</w:t>
      </w:r>
    </w:p>
    <w:p>
      <w:r>
        <w:t>**应急预案**：</w:t>
      </w:r>
    </w:p>
    <w:p>
      <w:r>
        <w:t>如果技术债务超出预期，评估重构 vs 维持的利弊，考虑精简改造范围。</w:t>
      </w:r>
    </w:p>
    <w:p/>
    <w:p>
      <w:pPr>
        <w:pStyle w:val="Heading4"/>
      </w:pPr>
      <w:r>
        <w:t>R-009：安全漏洞</w:t>
      </w:r>
    </w:p>
    <w:p>
      <w:r>
        <w:t>**风险描述**：</w:t>
      </w:r>
    </w:p>
    <w:p>
      <w:r>
        <w:t>系统可能存在安全漏洞，如SQL注入、XSS、认证绕过等，被攻击者利用。</w:t>
      </w:r>
    </w:p>
    <w:p>
      <w:r>
        <w:t>**影响分析**：</w:t>
      </w:r>
    </w:p>
    <w:p>
      <w:pPr>
        <w:pStyle w:val="ListBullet"/>
      </w:pPr>
      <w:r>
        <w:t>数据泄露风险</w:t>
      </w:r>
    </w:p>
    <w:p>
      <w:pPr>
        <w:pStyle w:val="ListBullet"/>
      </w:pPr>
      <w:r>
        <w:t>服务中断</w:t>
      </w:r>
    </w:p>
    <w:p>
      <w:pPr>
        <w:pStyle w:val="ListBullet"/>
      </w:pPr>
      <w:r>
        <w:t>法律责任和声誉损失</w:t>
      </w:r>
    </w:p>
    <w:p>
      <w:r>
        <w:t>**发生概率**：40%</w:t>
      </w:r>
    </w:p>
    <w:p>
      <w:r>
        <w:t>**风险值**：高（6）</w:t>
      </w:r>
    </w:p>
    <w:p>
      <w:r>
        <w:t>**应对措施**：</w:t>
      </w:r>
    </w:p>
    <w:p>
      <w:pPr>
        <w:pStyle w:val="ListNumber"/>
      </w:pPr>
      <w:r>
        <w:t>1. **预防**：</w:t>
      </w:r>
    </w:p>
    <w:p>
      <w:pPr>
        <w:pStyle w:val="ListBullet"/>
      </w:pPr>
      <w:r>
        <w:t>使用参数化查询防SQL注入</w:t>
      </w:r>
    </w:p>
    <w:p>
      <w:pPr>
        <w:pStyle w:val="ListBullet"/>
      </w:pPr>
      <w:r>
        <w:t>输入输出转义防XSS</w:t>
      </w:r>
    </w:p>
    <w:p>
      <w:pPr>
        <w:pStyle w:val="ListBullet"/>
      </w:pPr>
      <w:r>
        <w:t>使用成熟的认证框架</w:t>
      </w:r>
    </w:p>
    <w:p>
      <w:pPr>
        <w:pStyle w:val="ListBullet"/>
      </w:pPr>
      <w:r>
        <w:t>安全编码规范</w:t>
      </w:r>
    </w:p>
    <w:p>
      <w:pPr>
        <w:pStyle w:val="ListNumber"/>
      </w:pPr>
      <w:r>
        <w:t>2. **检测**：</w:t>
      </w:r>
    </w:p>
    <w:p>
      <w:pPr>
        <w:pStyle w:val="ListBullet"/>
      </w:pPr>
      <w:r>
        <w:t>代码安全审查</w:t>
      </w:r>
    </w:p>
    <w:p>
      <w:pPr>
        <w:pStyle w:val="ListBullet"/>
      </w:pPr>
      <w:r>
        <w:t>渗透测试</w:t>
      </w:r>
    </w:p>
    <w:p>
      <w:pPr>
        <w:pStyle w:val="ListBullet"/>
      </w:pPr>
      <w:r>
        <w:t>依赖安全扫描</w:t>
      </w:r>
    </w:p>
    <w:p>
      <w:pPr>
        <w:pStyle w:val="ListNumber"/>
      </w:pPr>
      <w:r>
        <w:t>3. **应对**：</w:t>
      </w:r>
    </w:p>
    <w:p>
      <w:pPr>
        <w:pStyle w:val="ListBullet"/>
      </w:pPr>
      <w:r>
        <w:t>建立安全事件响应流程</w:t>
      </w:r>
    </w:p>
    <w:p>
      <w:pPr>
        <w:pStyle w:val="ListBullet"/>
      </w:pPr>
      <w:r>
        <w:t>定期更新安全补丁</w:t>
      </w:r>
    </w:p>
    <w:p>
      <w:pPr>
        <w:pStyle w:val="ListBullet"/>
      </w:pPr>
      <w:r>
        <w:t>建立监控告警</w:t>
      </w:r>
    </w:p>
    <w:p>
      <w:r>
        <w:t>**应急预案**：</w:t>
      </w:r>
    </w:p>
    <w:p>
      <w:r>
        <w:t>如果发生安全事件，启动应急响应流程，及时通知相关方，修复漏洞。</w:t>
      </w:r>
    </w:p>
    <w:p/>
    <w:p>
      <w:pPr>
        <w:pStyle w:val="Heading3"/>
      </w:pPr>
      <w:r>
        <w:t>2.3 中优先级风险详细分析</w:t>
      </w:r>
    </w:p>
    <w:p>
      <w:pPr>
        <w:pStyle w:val="Heading4"/>
      </w:pPr>
      <w:r>
        <w:t>R-003：组件集成困难</w:t>
      </w:r>
    </w:p>
    <w:p>
      <w:r>
        <w:t>**风险描述**：</w:t>
      </w:r>
    </w:p>
    <w:p>
      <w:r>
        <w:t>Nginx、PostgreSQL、Redis、MinIO等组件与主应用的集成可能出现问题，如配置复杂、兼容性问题等。</w:t>
      </w:r>
    </w:p>
    <w:p>
      <w:r>
        <w:t>**影响分析**：</w:t>
      </w:r>
    </w:p>
    <w:p>
      <w:pPr>
        <w:pStyle w:val="ListBullet"/>
      </w:pPr>
      <w:r>
        <w:t>功能无法正常使用</w:t>
      </w:r>
    </w:p>
    <w:p>
      <w:pPr>
        <w:pStyle w:val="ListBullet"/>
      </w:pPr>
      <w:r>
        <w:t>需要额外调试时间</w:t>
      </w:r>
    </w:p>
    <w:p>
      <w:pPr>
        <w:pStyle w:val="ListBullet"/>
      </w:pPr>
      <w:r>
        <w:t>可能影响部署</w:t>
      </w:r>
    </w:p>
    <w:p>
      <w:r>
        <w:t>**发生概率**：40%</w:t>
      </w:r>
    </w:p>
    <w:p>
      <w:r>
        <w:t>**风险值**：中（4）</w:t>
      </w:r>
    </w:p>
    <w:p>
      <w:r>
        <w:t>**应对措施**：</w:t>
      </w:r>
    </w:p>
    <w:p>
      <w:pPr>
        <w:pStyle w:val="ListNumber"/>
      </w:pPr>
      <w:r>
        <w:t>1. 采用成熟的集成方案和最佳实践</w:t>
      </w:r>
    </w:p>
    <w:p>
      <w:pPr>
        <w:pStyle w:val="ListNumber"/>
      </w:pPr>
      <w:r>
        <w:t>2. 每个组件单独测试后再集成</w:t>
      </w:r>
    </w:p>
    <w:p>
      <w:pPr>
        <w:pStyle w:val="ListNumber"/>
      </w:pPr>
      <w:r>
        <w:t>3. 建立组件兼容性清单</w:t>
      </w:r>
    </w:p>
    <w:p>
      <w:pPr>
        <w:pStyle w:val="ListNumber"/>
      </w:pPr>
      <w:r>
        <w:t>4. 预留足够的集成测试时间</w:t>
      </w:r>
    </w:p>
    <w:p>
      <w:r>
        <w:t>**应急预案**：</w:t>
      </w:r>
    </w:p>
    <w:p>
      <w:r>
        <w:t>准备备选组件方案，如PostgreSQL可替换为MySQL，MinIO可替换为本地文件系统。</w:t>
      </w:r>
    </w:p>
    <w:p/>
    <w:p>
      <w:pPr>
        <w:pStyle w:val="Heading4"/>
      </w:pPr>
      <w:r>
        <w:t>R-004：性能不达标</w:t>
      </w:r>
    </w:p>
    <w:p>
      <w:r>
        <w:t>**风险描述**：</w:t>
      </w:r>
    </w:p>
    <w:p>
      <w:r>
        <w:t>改造后的系统性能可能无法达到预期目标，如响应时间长、并发能力不足。</w:t>
      </w:r>
    </w:p>
    <w:p>
      <w:r>
        <w:t>**影响分析**：</w:t>
      </w:r>
    </w:p>
    <w:p>
      <w:pPr>
        <w:pStyle w:val="ListBullet"/>
      </w:pPr>
      <w:r>
        <w:t>用户体验差</w:t>
      </w:r>
    </w:p>
    <w:p>
      <w:pPr>
        <w:pStyle w:val="ListBullet"/>
      </w:pPr>
      <w:r>
        <w:t>无法满足业务需求</w:t>
      </w:r>
    </w:p>
    <w:p>
      <w:pPr>
        <w:pStyle w:val="ListBullet"/>
      </w:pPr>
      <w:r>
        <w:t>可能需要大规模重构</w:t>
      </w:r>
    </w:p>
    <w:p>
      <w:r>
        <w:t>**发生概率**：30%</w:t>
      </w:r>
    </w:p>
    <w:p>
      <w:r>
        <w:t>**风险值**：中（4）</w:t>
      </w:r>
    </w:p>
    <w:p>
      <w:r>
        <w:t>**应对措施**：</w:t>
      </w:r>
    </w:p>
    <w:p>
      <w:pPr>
        <w:pStyle w:val="ListNumber"/>
      </w:pPr>
      <w:r>
        <w:t>1. 在设计阶段充分考虑性能要求</w:t>
      </w:r>
    </w:p>
    <w:p>
      <w:pPr>
        <w:pStyle w:val="ListNumber"/>
      </w:pPr>
      <w:r>
        <w:t>2. 第二阶段开始进行性能测试</w:t>
      </w:r>
    </w:p>
    <w:p>
      <w:pPr>
        <w:pStyle w:val="ListNumber"/>
      </w:pPr>
      <w:r>
        <w:t>3. 预留性能优化时间</w:t>
      </w:r>
    </w:p>
    <w:p>
      <w:pPr>
        <w:pStyle w:val="ListNumber"/>
      </w:pPr>
      <w:r>
        <w:t>4. 建立性能基线和监控</w:t>
      </w:r>
    </w:p>
    <w:p>
      <w:r>
        <w:t>**应急预案**：</w:t>
      </w:r>
    </w:p>
    <w:p>
      <w:r>
        <w:t>准备缓存方案和读写分离方案，必要时引入负载均衡和水平扩展。</w:t>
      </w:r>
    </w:p>
    <w:p/>
    <w:p>
      <w:pPr>
        <w:pStyle w:val="Heading4"/>
      </w:pPr>
      <w:r>
        <w:t>R-007：需求蔓延</w:t>
      </w:r>
    </w:p>
    <w:p>
      <w:r>
        <w:t>**风险描述**：</w:t>
      </w:r>
    </w:p>
    <w:p>
      <w:r>
        <w:t>项目进行过程中可能出现需求变更，导致范围蔓延。</w:t>
      </w:r>
    </w:p>
    <w:p>
      <w:r>
        <w:t>**影响分析**：</w:t>
      </w:r>
    </w:p>
    <w:p>
      <w:pPr>
        <w:pStyle w:val="ListBullet"/>
      </w:pPr>
      <w:r>
        <w:t>项目延期</w:t>
      </w:r>
    </w:p>
    <w:p>
      <w:pPr>
        <w:pStyle w:val="ListBullet"/>
      </w:pPr>
      <w:r>
        <w:t>成本增加</w:t>
      </w:r>
    </w:p>
    <w:p>
      <w:pPr>
        <w:pStyle w:val="ListBullet"/>
      </w:pPr>
      <w:r>
        <w:t>质量下降</w:t>
      </w:r>
    </w:p>
    <w:p>
      <w:r>
        <w:t>**发生概率**：40%</w:t>
      </w:r>
    </w:p>
    <w:p>
      <w:r>
        <w:t>**风险值**：中（4）</w:t>
      </w:r>
    </w:p>
    <w:p>
      <w:r>
        <w:t>**应对措施**：</w:t>
      </w:r>
    </w:p>
    <w:p>
      <w:pPr>
        <w:pStyle w:val="ListNumber"/>
      </w:pPr>
      <w:r>
        <w:t>1. 明确需求变更流程</w:t>
      </w:r>
    </w:p>
    <w:p>
      <w:pPr>
        <w:pStyle w:val="ListNumber"/>
      </w:pPr>
      <w:r>
        <w:t>2. 建立需求变更评审机制</w:t>
      </w:r>
    </w:p>
    <w:p>
      <w:pPr>
        <w:pStyle w:val="ListNumber"/>
      </w:pPr>
      <w:r>
        <w:t>3. 预留10-15%的缓冲时间</w:t>
      </w:r>
    </w:p>
    <w:p>
      <w:pPr>
        <w:pStyle w:val="ListNumber"/>
      </w:pPr>
      <w:r>
        <w:t>4. 优先处理P0需求，灵活处理P1/P2需求</w:t>
      </w:r>
    </w:p>
    <w:p>
      <w:r>
        <w:t>**应急预案**：</w:t>
      </w:r>
    </w:p>
    <w:p>
      <w:r>
        <w:t>如果变更过大，重新评估项目范围和计划。</w:t>
      </w:r>
    </w:p>
    <w:p/>
    <w:p>
      <w:pPr>
        <w:pStyle w:val="Heading2"/>
      </w:pPr>
      <w:r>
        <w:t>第三章 风险管理机制</w:t>
      </w:r>
    </w:p>
    <w:p>
      <w:pPr>
        <w:pStyle w:val="Heading3"/>
      </w:pPr>
      <w:r>
        <w:t>3.1 风险管理职责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风险管理的主要责任人，风险识别、评估、跟踪</w:t>
            </w:r>
          </w:p>
        </w:tc>
      </w:tr>
      <w:tr>
        <w:tc>
          <w:tcPr>
            <w:tcW w:type="dxa" w:w="4320"/>
          </w:tcPr>
          <w:p>
            <w:r>
              <w:t>技术负责人</w:t>
            </w:r>
          </w:p>
        </w:tc>
        <w:tc>
          <w:tcPr>
            <w:tcW w:type="dxa" w:w="4320"/>
          </w:tcPr>
          <w:p>
            <w:r>
              <w:t>技术风险识别和评估，技术决策</w:t>
            </w:r>
          </w:p>
        </w:tc>
      </w:tr>
      <w:tr>
        <w:tc>
          <w:tcPr>
            <w:tcW w:type="dxa" w:w="4320"/>
          </w:tcPr>
          <w:p>
            <w:r>
              <w:t>开发团队</w:t>
            </w:r>
          </w:p>
        </w:tc>
        <w:tc>
          <w:tcPr>
            <w:tcW w:type="dxa" w:w="4320"/>
          </w:tcPr>
          <w:p>
            <w:r>
              <w:t>执行风险管理措施，报告风险</w:t>
            </w:r>
          </w:p>
        </w:tc>
      </w:tr>
      <w:tr>
        <w:tc>
          <w:tcPr>
            <w:tcW w:type="dxa" w:w="4320"/>
          </w:tcPr>
          <w:p>
            <w:r>
              <w:t>测试团队</w:t>
            </w:r>
          </w:p>
        </w:tc>
        <w:tc>
          <w:tcPr>
            <w:tcW w:type="dxa" w:w="4320"/>
          </w:tcPr>
          <w:p>
            <w:r>
              <w:t>安全风险检测，测试相关风险</w:t>
            </w:r>
          </w:p>
        </w:tc>
      </w:tr>
    </w:tbl>
    <w:p>
      <w:pPr>
        <w:pStyle w:val="Heading3"/>
      </w:pPr>
      <w:r>
        <w:t>3.2 风险监控机制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风险清单更新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更新后的风险清单</w:t>
            </w:r>
          </w:p>
        </w:tc>
      </w:tr>
      <w:tr>
        <w:tc>
          <w:tcPr>
            <w:tcW w:type="dxa" w:w="2160"/>
          </w:tcPr>
          <w:p>
            <w:r>
              <w:t>高风险审查</w:t>
            </w:r>
          </w:p>
        </w:tc>
        <w:tc>
          <w:tcPr>
            <w:tcW w:type="dxa" w:w="2160"/>
          </w:tcPr>
          <w:p>
            <w:r>
              <w:t>每两周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审查报告</w:t>
            </w:r>
          </w:p>
        </w:tc>
      </w:tr>
      <w:tr>
        <w:tc>
          <w:tcPr>
            <w:tcW w:type="dxa" w:w="2160"/>
          </w:tcPr>
          <w:p>
            <w:r>
              <w:t>风险预警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团队成员</w:t>
            </w:r>
          </w:p>
        </w:tc>
        <w:tc>
          <w:tcPr>
            <w:tcW w:type="dxa" w:w="2160"/>
          </w:tcPr>
          <w:p>
            <w:r>
              <w:t>预警通知</w:t>
            </w:r>
          </w:p>
        </w:tc>
      </w:tr>
      <w:tr>
        <w:tc>
          <w:tcPr>
            <w:tcW w:type="dxa" w:w="2160"/>
          </w:tcPr>
          <w:p>
            <w:r>
              <w:t>风险复盘</w:t>
            </w:r>
          </w:p>
        </w:tc>
        <w:tc>
          <w:tcPr>
            <w:tcW w:type="dxa" w:w="2160"/>
          </w:tcPr>
          <w:p>
            <w:r>
              <w:t>每里程碑</w:t>
            </w:r>
          </w:p>
        </w:tc>
        <w:tc>
          <w:tcPr>
            <w:tcW w:type="dxa" w:w="2160"/>
          </w:tcPr>
          <w:p>
            <w:r>
              <w:t>项目组</w:t>
            </w:r>
          </w:p>
        </w:tc>
        <w:tc>
          <w:tcPr>
            <w:tcW w:type="dxa" w:w="2160"/>
          </w:tcPr>
          <w:p>
            <w:r>
              <w:t>复盘报告</w:t>
            </w:r>
          </w:p>
        </w:tc>
      </w:tr>
    </w:tbl>
    <w:p>
      <w:pPr>
        <w:pStyle w:val="Heading3"/>
      </w:pPr>
      <w:r>
        <w:t>3.3 风险升级机制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红色风险</w:t>
            </w:r>
          </w:p>
        </w:tc>
        <w:tc>
          <w:tcPr>
            <w:tcW w:type="dxa" w:w="2160"/>
          </w:tcPr>
          <w:p>
            <w:r>
              <w:t>可能导致项目失败</w:t>
            </w:r>
          </w:p>
        </w:tc>
        <w:tc>
          <w:tcPr>
            <w:tcW w:type="dxa" w:w="2160"/>
          </w:tcPr>
          <w:p>
            <w:r>
              <w:t>风险值 &gt;= 8</w:t>
            </w:r>
          </w:p>
        </w:tc>
        <w:tc>
          <w:tcPr>
            <w:tcW w:type="dxa" w:w="2160"/>
          </w:tcPr>
          <w:p>
            <w:r>
              <w:t>项目发起人</w:t>
            </w:r>
          </w:p>
        </w:tc>
      </w:tr>
      <w:tr>
        <w:tc>
          <w:tcPr>
            <w:tcW w:type="dxa" w:w="2160"/>
          </w:tcPr>
          <w:p>
            <w:r>
              <w:t>橙色风险</w:t>
            </w:r>
          </w:p>
        </w:tc>
        <w:tc>
          <w:tcPr>
            <w:tcW w:type="dxa" w:w="2160"/>
          </w:tcPr>
          <w:p>
            <w:r>
              <w:t>可能导致重大延误或成本增加</w:t>
            </w:r>
          </w:p>
        </w:tc>
        <w:tc>
          <w:tcPr>
            <w:tcW w:type="dxa" w:w="2160"/>
          </w:tcPr>
          <w:p>
            <w:r>
              <w:t>风险值 &gt;= 6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</w:tr>
      <w:tr>
        <w:tc>
          <w:tcPr>
            <w:tcW w:type="dxa" w:w="2160"/>
          </w:tcPr>
          <w:p>
            <w:r>
              <w:t>黄色风险</w:t>
            </w:r>
          </w:p>
        </w:tc>
        <w:tc>
          <w:tcPr>
            <w:tcW w:type="dxa" w:w="2160"/>
          </w:tcPr>
          <w:p>
            <w:r>
              <w:t>可能导致局部问题</w:t>
            </w:r>
          </w:p>
        </w:tc>
        <w:tc>
          <w:tcPr>
            <w:tcW w:type="dxa" w:w="2160"/>
          </w:tcPr>
          <w:p>
            <w:r>
              <w:t>风险值 &gt;= 4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</w:tr>
      <w:tr>
        <w:tc>
          <w:tcPr>
            <w:tcW w:type="dxa" w:w="2160"/>
          </w:tcPr>
          <w:p>
            <w:r>
              <w:t>蓝色风险</w:t>
            </w:r>
          </w:p>
        </w:tc>
        <w:tc>
          <w:tcPr>
            <w:tcW w:type="dxa" w:w="2160"/>
          </w:tcPr>
          <w:p>
            <w:r>
              <w:t>可接受的残余风险</w:t>
            </w:r>
          </w:p>
        </w:tc>
        <w:tc>
          <w:tcPr>
            <w:tcW w:type="dxa" w:w="2160"/>
          </w:tcPr>
          <w:p>
            <w:r>
              <w:t>风险值 &lt; 4</w:t>
            </w:r>
          </w:p>
        </w:tc>
        <w:tc>
          <w:tcPr>
            <w:tcW w:type="dxa" w:w="2160"/>
          </w:tcPr>
          <w:p>
            <w:r>
              <w:t>监控即可</w:t>
            </w:r>
          </w:p>
        </w:tc>
      </w:tr>
    </w:tbl>
    <w:p/>
    <w:p>
      <w:pPr>
        <w:pStyle w:val="Heading2"/>
      </w:pPr>
      <w:r>
        <w:t>第四章 机会分析</w:t>
      </w:r>
    </w:p>
    <w:p>
      <w:pPr>
        <w:pStyle w:val="Heading3"/>
      </w:pPr>
      <w:r>
        <w:t>4.1 机会识别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O-001</w:t>
            </w:r>
          </w:p>
        </w:tc>
        <w:tc>
          <w:tcPr>
            <w:tcW w:type="dxa" w:w="2160"/>
          </w:tcPr>
          <w:p>
            <w:r>
              <w:t>API服务产品化后，可拓展多租户SaaS业务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产品稳定后</w:t>
            </w:r>
          </w:p>
        </w:tc>
      </w:tr>
      <w:tr>
        <w:tc>
          <w:tcPr>
            <w:tcW w:type="dxa" w:w="2160"/>
          </w:tcPr>
          <w:p>
            <w:r>
              <w:t>O-002</w:t>
            </w:r>
          </w:p>
        </w:tc>
        <w:tc>
          <w:tcPr>
            <w:tcW w:type="dxa" w:w="2160"/>
          </w:tcPr>
          <w:p>
            <w:r>
              <w:t>良好的API服务可吸引开发者生态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完善文档和SDK</w:t>
            </w:r>
          </w:p>
        </w:tc>
      </w:tr>
      <w:tr>
        <w:tc>
          <w:tcPr>
            <w:tcW w:type="dxa" w:w="2160"/>
          </w:tcPr>
          <w:p>
            <w:r>
              <w:t>O-003</w:t>
            </w:r>
          </w:p>
        </w:tc>
        <w:tc>
          <w:tcPr>
            <w:tcW w:type="dxa" w:w="2160"/>
          </w:tcPr>
          <w:p>
            <w:r>
              <w:t>项目经验可沉淀为内部技术中台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良好复盘</w:t>
            </w:r>
          </w:p>
        </w:tc>
      </w:tr>
      <w:tr>
        <w:tc>
          <w:tcPr>
            <w:tcW w:type="dxa" w:w="2160"/>
          </w:tcPr>
          <w:p>
            <w:r>
              <w:t>O-004</w:t>
            </w:r>
          </w:p>
        </w:tc>
        <w:tc>
          <w:tcPr>
            <w:tcW w:type="dxa" w:w="2160"/>
          </w:tcPr>
          <w:p>
            <w:r>
              <w:t>团队技术能力提升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知识分享</w:t>
            </w:r>
          </w:p>
        </w:tc>
      </w:tr>
    </w:tbl>
    <w:p>
      <w:pPr>
        <w:pStyle w:val="Heading3"/>
      </w:pPr>
      <w:r>
        <w:t>4.2 机会利用策略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O-001</w:t>
            </w:r>
          </w:p>
        </w:tc>
        <w:tc>
          <w:tcPr>
            <w:tcW w:type="dxa" w:w="2160"/>
          </w:tcPr>
          <w:p>
            <w:r>
              <w:t>设计时考虑扩展性，预留多租户接口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设计阶段</w:t>
            </w:r>
          </w:p>
        </w:tc>
      </w:tr>
      <w:tr>
        <w:tc>
          <w:tcPr>
            <w:tcW w:type="dxa" w:w="2160"/>
          </w:tcPr>
          <w:p>
            <w:r>
              <w:t>O-002</w:t>
            </w:r>
          </w:p>
        </w:tc>
        <w:tc>
          <w:tcPr>
            <w:tcW w:type="dxa" w:w="2160"/>
          </w:tcPr>
          <w:p>
            <w:r>
              <w:t>重视API文档和开发者体验</w:t>
            </w:r>
          </w:p>
        </w:tc>
        <w:tc>
          <w:tcPr>
            <w:tcW w:type="dxa" w:w="2160"/>
          </w:tcPr>
          <w:p>
            <w:r>
              <w:t>开发团队</w:t>
            </w:r>
          </w:p>
        </w:tc>
        <w:tc>
          <w:tcPr>
            <w:tcW w:type="dxa" w:w="2160"/>
          </w:tcPr>
          <w:p>
            <w:r>
              <w:t>开发阶段</w:t>
            </w:r>
          </w:p>
        </w:tc>
      </w:tr>
      <w:tr>
        <w:tc>
          <w:tcPr>
            <w:tcW w:type="dxa" w:w="2160"/>
          </w:tcPr>
          <w:p>
            <w:r>
              <w:t>O-003</w:t>
            </w:r>
          </w:p>
        </w:tc>
        <w:tc>
          <w:tcPr>
            <w:tcW w:type="dxa" w:w="2160"/>
          </w:tcPr>
          <w:p>
            <w:r>
              <w:t>记录技术决策和踩坑经历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复盘阶段</w:t>
            </w:r>
          </w:p>
        </w:tc>
      </w:tr>
      <w:tr>
        <w:tc>
          <w:tcPr>
            <w:tcW w:type="dxa" w:w="2160"/>
          </w:tcPr>
          <w:p>
            <w:r>
              <w:t>O-004</w:t>
            </w:r>
          </w:p>
        </w:tc>
        <w:tc>
          <w:tcPr>
            <w:tcW w:type="dxa" w:w="2160"/>
          </w:tcPr>
          <w:p>
            <w:r>
              <w:t>定期技术分享，建立知识库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全程</w:t>
            </w:r>
          </w:p>
        </w:tc>
      </w:tr>
    </w:tbl>
    <w:p/>
    <w:p>
      <w:pPr>
        <w:pStyle w:val="Heading2"/>
      </w:pPr>
      <w:r>
        <w:t>第五章 SWOT综合策略</w:t>
      </w:r>
    </w:p>
    <w:p>
      <w:pPr>
        <w:pStyle w:val="Heading3"/>
      </w:pPr>
      <w:r>
        <w:t>5.1 SO策略（优势+机会）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利用成熟技术快速交付</w:t>
            </w:r>
          </w:p>
        </w:tc>
        <w:tc>
          <w:tcPr>
            <w:tcW w:type="dxa" w:w="4320"/>
          </w:tcPr>
          <w:p>
            <w:r>
              <w:t>采用FastAPI等现代化框架，利用成熟组件加速开发</w:t>
            </w:r>
          </w:p>
        </w:tc>
      </w:tr>
      <w:tr>
        <w:tc>
          <w:tcPr>
            <w:tcW w:type="dxa" w:w="4320"/>
          </w:tcPr>
          <w:p>
            <w:r>
              <w:t>把握API经济机遇</w:t>
            </w:r>
          </w:p>
        </w:tc>
        <w:tc>
          <w:tcPr>
            <w:tcW w:type="dxa" w:w="4320"/>
          </w:tcPr>
          <w:p>
            <w:r>
              <w:t>设计时考虑可扩展性，为未来SaaS化做准备</w:t>
            </w:r>
          </w:p>
        </w:tc>
      </w:tr>
      <w:tr>
        <w:tc>
          <w:tcPr>
            <w:tcW w:type="dxa" w:w="4320"/>
          </w:tcPr>
          <w:p>
            <w:r>
              <w:t>建立开发者友好生态</w:t>
            </w:r>
          </w:p>
        </w:tc>
        <w:tc>
          <w:tcPr>
            <w:tcW w:type="dxa" w:w="4320"/>
          </w:tcPr>
          <w:p>
            <w:r>
              <w:t>重视API文档和SDK开发，吸引开发者</w:t>
            </w:r>
          </w:p>
        </w:tc>
      </w:tr>
    </w:tbl>
    <w:p>
      <w:pPr>
        <w:pStyle w:val="Heading3"/>
      </w:pPr>
      <w:r>
        <w:t>5.2 WO策略（劣势+机会）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弥补技术债务</w:t>
            </w:r>
          </w:p>
        </w:tc>
        <w:tc>
          <w:tcPr>
            <w:tcW w:type="dxa" w:w="4320"/>
          </w:tcPr>
          <w:p>
            <w:r>
              <w:t>利用开源社区资源，学习最佳实践</w:t>
            </w:r>
          </w:p>
        </w:tc>
      </w:tr>
      <w:tr>
        <w:tc>
          <w:tcPr>
            <w:tcW w:type="dxa" w:w="4320"/>
          </w:tcPr>
          <w:p>
            <w:r>
              <w:t>培养团队能力</w:t>
            </w:r>
          </w:p>
        </w:tc>
        <w:tc>
          <w:tcPr>
            <w:tcW w:type="dxa" w:w="4320"/>
          </w:tcPr>
          <w:p>
            <w:r>
              <w:t>边做边学，通过项目提升团队技术水平</w:t>
            </w:r>
          </w:p>
        </w:tc>
      </w:tr>
      <w:tr>
        <w:tc>
          <w:tcPr>
            <w:tcW w:type="dxa" w:w="4320"/>
          </w:tcPr>
          <w:p>
            <w:r>
              <w:t>控制范围保质量</w:t>
            </w:r>
          </w:p>
        </w:tc>
        <w:tc>
          <w:tcPr>
            <w:tcW w:type="dxa" w:w="4320"/>
          </w:tcPr>
          <w:p>
            <w:r>
              <w:t>聚焦核心功能，确保交付质量</w:t>
            </w:r>
          </w:p>
        </w:tc>
      </w:tr>
    </w:tbl>
    <w:p>
      <w:pPr>
        <w:pStyle w:val="Heading3"/>
      </w:pPr>
      <w:r>
        <w:t>5.3 ST策略（优势+威胁）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利用成熟技术降低风险</w:t>
            </w:r>
          </w:p>
        </w:tc>
        <w:tc>
          <w:tcPr>
            <w:tcW w:type="dxa" w:w="4320"/>
          </w:tcPr>
          <w:p>
            <w:r>
              <w:t>选择稳定版本，建立监控告警</w:t>
            </w:r>
          </w:p>
        </w:tc>
      </w:tr>
      <w:tr>
        <w:tc>
          <w:tcPr>
            <w:tcW w:type="dxa" w:w="4320"/>
          </w:tcPr>
          <w:p>
            <w:r>
              <w:t>差异化竞争</w:t>
            </w:r>
          </w:p>
        </w:tc>
        <w:tc>
          <w:tcPr>
            <w:tcW w:type="dxa" w:w="4320"/>
          </w:tcPr>
          <w:p>
            <w:r>
              <w:t>聚焦特定业务场景，提供差异化价值</w:t>
            </w:r>
          </w:p>
        </w:tc>
      </w:tr>
      <w:tr>
        <w:tc>
          <w:tcPr>
            <w:tcW w:type="dxa" w:w="4320"/>
          </w:tcPr>
          <w:p>
            <w:r>
              <w:t>建立安全机制</w:t>
            </w:r>
          </w:p>
        </w:tc>
        <w:tc>
          <w:tcPr>
            <w:tcW w:type="dxa" w:w="4320"/>
          </w:tcPr>
          <w:p>
            <w:r>
              <w:t>重视安全测试，建立应急响应</w:t>
            </w:r>
          </w:p>
        </w:tc>
      </w:tr>
    </w:tbl>
    <w:p>
      <w:pPr>
        <w:pStyle w:val="Heading3"/>
      </w:pPr>
      <w:r>
        <w:t>5.4 WT策略（劣势+威胁）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降低许可证风险</w:t>
            </w:r>
          </w:p>
        </w:tc>
        <w:tc>
          <w:tcPr>
            <w:tcW w:type="dxa" w:w="4320"/>
          </w:tcPr>
          <w:p>
            <w:r>
              <w:t>启动前审计，必要时重写</w:t>
            </w:r>
          </w:p>
        </w:tc>
      </w:tr>
      <w:tr>
        <w:tc>
          <w:tcPr>
            <w:tcW w:type="dxa" w:w="4320"/>
          </w:tcPr>
          <w:p>
            <w:r>
              <w:t>控制技术债务</w:t>
            </w:r>
          </w:p>
        </w:tc>
        <w:tc>
          <w:tcPr>
            <w:tcW w:type="dxa" w:w="4320"/>
          </w:tcPr>
          <w:p>
            <w:r>
              <w:t>第一阶段充分评估，设定边界</w:t>
            </w:r>
          </w:p>
        </w:tc>
      </w:tr>
      <w:tr>
        <w:tc>
          <w:tcPr>
            <w:tcW w:type="dxa" w:w="4320"/>
          </w:tcPr>
          <w:p>
            <w:r>
              <w:t>严格变更控制</w:t>
            </w:r>
          </w:p>
        </w:tc>
        <w:tc>
          <w:tcPr>
            <w:tcW w:type="dxa" w:w="4320"/>
          </w:tcPr>
          <w:p>
            <w:r>
              <w:t>建立变更管理机制，控制范围蔓延</w:t>
            </w:r>
          </w:p>
        </w:tc>
      </w:tr>
    </w:tbl>
    <w:p/>
    <w:p>
      <w:pPr>
        <w:pStyle w:val="Heading2"/>
      </w:pPr>
      <w:r>
        <w:t>第六章 风险管理计划</w:t>
      </w:r>
    </w:p>
    <w:p>
      <w:pPr>
        <w:pStyle w:val="Heading3"/>
      </w:pPr>
      <w:r>
        <w:t>6.1 风险管理工作计划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项目启动</w:t>
            </w:r>
          </w:p>
        </w:tc>
        <w:tc>
          <w:tcPr>
            <w:tcW w:type="dxa" w:w="2160"/>
          </w:tcPr>
          <w:p>
            <w:r>
              <w:t>风险识别和初步评估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初始风险清单</w:t>
            </w:r>
          </w:p>
        </w:tc>
      </w:tr>
      <w:tr>
        <w:tc>
          <w:tcPr>
            <w:tcW w:type="dxa" w:w="2160"/>
          </w:tcPr>
          <w:p>
            <w:r>
              <w:t>第一阶段末</w:t>
            </w:r>
          </w:p>
        </w:tc>
        <w:tc>
          <w:tcPr>
            <w:tcW w:type="dxa" w:w="2160"/>
          </w:tcPr>
          <w:p>
            <w:r>
              <w:t>更新风险清单，评估技术债务</w:t>
            </w:r>
          </w:p>
        </w:tc>
        <w:tc>
          <w:tcPr>
            <w:tcW w:type="dxa" w:w="2160"/>
          </w:tcPr>
          <w:p>
            <w:r>
              <w:t>项目经理+技术负责人</w:t>
            </w:r>
          </w:p>
        </w:tc>
        <w:tc>
          <w:tcPr>
            <w:tcW w:type="dxa" w:w="2160"/>
          </w:tcPr>
          <w:p>
            <w:r>
              <w:t>更新后风险清单</w:t>
            </w:r>
          </w:p>
        </w:tc>
      </w:tr>
      <w:tr>
        <w:tc>
          <w:tcPr>
            <w:tcW w:type="dxa" w:w="2160"/>
          </w:tcPr>
          <w:p>
            <w:r>
              <w:t>每两周</w:t>
            </w:r>
          </w:p>
        </w:tc>
        <w:tc>
          <w:tcPr>
            <w:tcW w:type="dxa" w:w="2160"/>
          </w:tcPr>
          <w:p>
            <w:r>
              <w:t>风险状态审查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风险审查报告</w:t>
            </w:r>
          </w:p>
        </w:tc>
      </w:tr>
      <w:tr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风险复盘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复盘报告</w:t>
            </w:r>
          </w:p>
        </w:tc>
      </w:tr>
      <w:tr>
        <w:tc>
          <w:tcPr>
            <w:tcW w:type="dxa" w:w="2160"/>
          </w:tcPr>
          <w:p>
            <w:r>
              <w:t>里程碑</w:t>
            </w:r>
          </w:p>
        </w:tc>
        <w:tc>
          <w:tcPr>
            <w:tcW w:type="dxa" w:w="2160"/>
          </w:tcPr>
          <w:p>
            <w:r>
              <w:t>风险总结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里程碑风险报告</w:t>
            </w:r>
          </w:p>
        </w:tc>
      </w:tr>
      <w:tr>
        <w:tc>
          <w:tcPr>
            <w:tcW w:type="dxa" w:w="2160"/>
          </w:tcPr>
          <w:p>
            <w:r>
              <w:t>项目结束</w:t>
            </w:r>
          </w:p>
        </w:tc>
        <w:tc>
          <w:tcPr>
            <w:tcW w:type="dxa" w:w="2160"/>
          </w:tcPr>
          <w:p>
            <w:r>
              <w:t>风险复盘和经验总结</w:t>
            </w:r>
          </w:p>
        </w:tc>
        <w:tc>
          <w:tcPr>
            <w:tcW w:type="dxa" w:w="2160"/>
          </w:tcPr>
          <w:p>
            <w:r>
              <w:t>项目组</w:t>
            </w:r>
          </w:p>
        </w:tc>
        <w:tc>
          <w:tcPr>
            <w:tcW w:type="dxa" w:w="2160"/>
          </w:tcPr>
          <w:p>
            <w:r>
              <w:t>风险复盘报告</w:t>
            </w:r>
          </w:p>
        </w:tc>
      </w:tr>
    </w:tbl>
    <w:p>
      <w:pPr>
        <w:pStyle w:val="Heading3"/>
      </w:pPr>
      <w:r>
        <w:t>6.2 应急预算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时间缓冲</w:t>
            </w:r>
          </w:p>
        </w:tc>
        <w:tc>
          <w:tcPr>
            <w:tcW w:type="dxa" w:w="2880"/>
          </w:tcPr>
          <w:p>
            <w:r>
              <w:t>2周</w:t>
            </w:r>
          </w:p>
        </w:tc>
        <w:tc>
          <w:tcPr>
            <w:tcW w:type="dxa" w:w="2880"/>
          </w:tcPr>
          <w:p>
            <w:r>
              <w:t>应对进度延期</w:t>
            </w:r>
          </w:p>
        </w:tc>
      </w:tr>
      <w:tr>
        <w:tc>
          <w:tcPr>
            <w:tcW w:type="dxa" w:w="2880"/>
          </w:tcPr>
          <w:p>
            <w:r>
              <w:t>人力缓冲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应对人员不足</w:t>
            </w:r>
          </w:p>
        </w:tc>
      </w:tr>
      <w:tr>
        <w:tc>
          <w:tcPr>
            <w:tcW w:type="dxa" w:w="2880"/>
          </w:tcPr>
          <w:p>
            <w:r>
              <w:t>成本缓冲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应对成本超支</w:t>
            </w:r>
          </w:p>
        </w:tc>
      </w:tr>
    </w:tbl>
    <w:p/>
    <w:p>
      <w:pPr>
        <w:pStyle w:val="Heading2"/>
      </w:pPr>
      <w:r>
        <w:t>第七章 附录</w:t>
      </w:r>
    </w:p>
    <w:p>
      <w:pPr>
        <w:pStyle w:val="Heading3"/>
      </w:pPr>
      <w:r>
        <w:t>7.1 风险清单模板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R-001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R-002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pPr>
        <w:pStyle w:val="Heading3"/>
      </w:pPr>
      <w:r>
        <w:t>7.2 风险日志</w:t>
      </w:r>
    </w:p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