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API服务改造项目需求分析报告</w:t>
      </w:r>
    </w:p>
    <w:p>
      <w:pPr>
        <w:pStyle w:val="Heading2"/>
      </w:pPr>
      <w:r>
        <w:t>一、文档概述</w:t>
      </w:r>
    </w:p>
    <w:p>
      <w:r>
        <w:t>本文档《文字文稿1.docx》是一份关于将现有代码仓库改造成可交付API服务的技术规划文档。该文档以阶段化的方式规划了整个改造过程，从现状梳理到最终交付，共划分为五个阶段，并明确了验收标准和许可合规要求。</w:t>
      </w:r>
    </w:p>
    <w:p>
      <w:pPr>
        <w:pStyle w:val="Heading2"/>
      </w:pPr>
      <w:r>
        <w:t>二、项目核心目标</w:t>
      </w:r>
    </w:p>
    <w:p>
      <w:r>
        <w:t>本文档的核心目标非常明确：**将现有仓库改造为可交付的API服务产品**。这一目标体现了从"课程项目"到"商业产品"的定位转变。文档特别强调了改造后的交付标准而非代码开发量，这表明项目团队更加关注最终用户体验和实际交付能力。</w:t>
      </w:r>
    </w:p>
    <w:p>
      <w:pPr>
        <w:pStyle w:val="Heading2"/>
      </w:pPr>
      <w:r>
        <w:t>三、阶段化改造计划分析</w:t>
      </w:r>
    </w:p>
    <w:p>
      <w:pPr>
        <w:pStyle w:val="Heading3"/>
      </w:pPr>
      <w:r>
        <w:t>第一阶段：现状盘清</w:t>
      </w:r>
    </w:p>
    <w:p>
      <w:r>
        <w:t>**核心任务**：全面梳理当前代码仓库的运行状态，建立基线认知。</w:t>
      </w:r>
    </w:p>
    <w:p>
      <w:r>
        <w:t>**关键要点**：</w:t>
      </w:r>
    </w:p>
    <w:p>
      <w:pPr>
        <w:pStyle w:val="ListBullet"/>
      </w:pPr>
      <w:r>
        <w:t>"不做大改"原则体现了谨慎渐进式的改造策略</w:t>
      </w:r>
    </w:p>
    <w:p>
      <w:pPr>
        <w:pStyle w:val="ListBullet"/>
      </w:pPr>
      <w:r>
        <w:t>通过盘清现有状态，可以识别技术债务、依赖关系和潜在风险</w:t>
      </w:r>
    </w:p>
    <w:p>
      <w:pPr>
        <w:pStyle w:val="ListBullet"/>
      </w:pPr>
      <w:r>
        <w:t>这一阶段是后续所有工作的基础，其质量直接影响整体改造效果</w:t>
      </w:r>
    </w:p>
    <w:p>
      <w:r>
        <w:t>**建议**：建议在此阶段生成一份详细的现状分析报告，包括代码架构图、依赖清单、当前性能基线和已知的稳定性问题。</w:t>
      </w:r>
    </w:p>
    <w:p>
      <w:pPr>
        <w:pStyle w:val="Heading3"/>
      </w:pPr>
      <w:r>
        <w:t>第二阶段：最小API产品化骨架</w:t>
      </w:r>
    </w:p>
    <w:p>
      <w:r>
        <w:t>**核心任务**：构建支撑商业化运营的基础能力层。</w:t>
      </w:r>
    </w:p>
    <w:p>
      <w:r>
        <w:t>**技术组件分析**：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鉴权</w:t>
            </w:r>
          </w:p>
        </w:tc>
        <w:tc>
          <w:tcPr>
            <w:tcW w:type="dxa" w:w="2880"/>
          </w:tcPr>
          <w:p>
            <w:r>
              <w:t>保障API安全访问，控制用户权限</w:t>
            </w:r>
          </w:p>
        </w:tc>
        <w:tc>
          <w:tcPr>
            <w:tcW w:type="dxa" w:w="2880"/>
          </w:tcPr>
          <w:p>
            <w:r>
              <w:t>核心</w:t>
            </w:r>
          </w:p>
        </w:tc>
      </w:tr>
      <w:tr>
        <w:tc>
          <w:tcPr>
            <w:tcW w:type="dxa" w:w="2880"/>
          </w:tcPr>
          <w:p>
            <w:r>
              <w:t>核心接口</w:t>
            </w:r>
          </w:p>
        </w:tc>
        <w:tc>
          <w:tcPr>
            <w:tcW w:type="dxa" w:w="2880"/>
          </w:tcPr>
          <w:p>
            <w:r>
              <w:t>业务逻辑的暴露入口</w:t>
            </w:r>
          </w:p>
        </w:tc>
        <w:tc>
          <w:tcPr>
            <w:tcW w:type="dxa" w:w="2880"/>
          </w:tcPr>
          <w:p>
            <w:r>
              <w:t>核心</w:t>
            </w:r>
          </w:p>
        </w:tc>
      </w:tr>
      <w:tr>
        <w:tc>
          <w:tcPr>
            <w:tcW w:type="dxa" w:w="2880"/>
          </w:tcPr>
          <w:p>
            <w:r>
              <w:t>Swagger</w:t>
            </w:r>
          </w:p>
        </w:tc>
        <w:tc>
          <w:tcPr>
            <w:tcW w:type="dxa" w:w="2880"/>
          </w:tcPr>
          <w:p>
            <w:r>
              <w:t>API文档自动化生成，降低集成成本</w:t>
            </w:r>
          </w:p>
        </w:tc>
        <w:tc>
          <w:tcPr>
            <w:tcW w:type="dxa" w:w="2880"/>
          </w:tcPr>
          <w:p>
            <w:r>
              <w:t>重要</w:t>
            </w:r>
          </w:p>
        </w:tc>
      </w:tr>
      <w:tr>
        <w:tc>
          <w:tcPr>
            <w:tcW w:type="dxa" w:w="2880"/>
          </w:tcPr>
          <w:p>
            <w:r>
              <w:t>日志</w:t>
            </w:r>
          </w:p>
        </w:tc>
        <w:tc>
          <w:tcPr>
            <w:tcW w:type="dxa" w:w="2880"/>
          </w:tcPr>
          <w:p>
            <w:r>
              <w:t>问题追踪、审计和监控基础</w:t>
            </w:r>
          </w:p>
        </w:tc>
        <w:tc>
          <w:tcPr>
            <w:tcW w:type="dxa" w:w="2880"/>
          </w:tcPr>
          <w:p>
            <w:r>
              <w:t>重要</w:t>
            </w:r>
          </w:p>
        </w:tc>
      </w:tr>
      <w:tr>
        <w:tc>
          <w:tcPr>
            <w:tcW w:type="dxa" w:w="2880"/>
          </w:tcPr>
          <w:p>
            <w:r>
              <w:t>错误处理</w:t>
            </w:r>
          </w:p>
        </w:tc>
        <w:tc>
          <w:tcPr>
            <w:tcW w:type="dxa" w:w="2880"/>
          </w:tcPr>
          <w:p>
            <w:r>
              <w:t>提升API健壮性和用户体验</w:t>
            </w:r>
          </w:p>
        </w:tc>
        <w:tc>
          <w:tcPr>
            <w:tcW w:type="dxa" w:w="2880"/>
          </w:tcPr>
          <w:p>
            <w:r>
              <w:t>重要</w:t>
            </w:r>
          </w:p>
        </w:tc>
      </w:tr>
    </w:tbl>
    <w:p>
      <w:r>
        <w:t>**分析**：这一阶段的五个组件构成了API服务的基础设施层。鉴权是安全的基石，核心接口是价值交付的载体，Swagger文档是开发者集成的关键，日志和错误处理则是运维保障的必要条件。这五个组件的选择体现了"最小化可行产品"的设计理念。</w:t>
      </w:r>
    </w:p>
    <w:p>
      <w:pPr>
        <w:pStyle w:val="Heading3"/>
      </w:pPr>
      <w:r>
        <w:t>第三阶段：可部署版架构</w:t>
      </w:r>
    </w:p>
    <w:p>
      <w:r>
        <w:t>**核心任务**：实现基础设施的容器化和自动化部署。</w:t>
      </w:r>
    </w:p>
    <w:p>
      <w:r>
        <w:t>**技术栈分析**：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容器编排</w:t>
            </w:r>
          </w:p>
        </w:tc>
        <w:tc>
          <w:tcPr>
            <w:tcW w:type="dxa" w:w="2880"/>
          </w:tcPr>
          <w:p>
            <w:r>
              <w:t>多服务协同管理</w:t>
            </w:r>
          </w:p>
        </w:tc>
      </w:tr>
      <w:tr>
        <w:tc>
          <w:tcPr>
            <w:tcW w:type="dxa" w:w="2880"/>
          </w:tcPr>
          <w:p>
            <w:r>
              <w:t>Nginx</w:t>
            </w:r>
          </w:p>
        </w:tc>
        <w:tc>
          <w:tcPr>
            <w:tcW w:type="dxa" w:w="2880"/>
          </w:tcPr>
          <w:p>
            <w:r>
              <w:t>反向代理/网关</w:t>
            </w:r>
          </w:p>
        </w:tc>
        <w:tc>
          <w:tcPr>
            <w:tcW w:type="dxa" w:w="2880"/>
          </w:tcPr>
          <w:p>
            <w:r>
              <w:t>请求路由、负载均衡、SSL终止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关系型数据库</w:t>
            </w:r>
          </w:p>
        </w:tc>
        <w:tc>
          <w:tcPr>
            <w:tcW w:type="dxa" w:w="2880"/>
          </w:tcPr>
          <w:p>
            <w:r>
              <w:t>持久化数据存储</w:t>
            </w:r>
          </w:p>
        </w:tc>
      </w:tr>
      <w:tr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内存数据库</w:t>
            </w:r>
          </w:p>
        </w:tc>
        <w:tc>
          <w:tcPr>
            <w:tcW w:type="dxa" w:w="2880"/>
          </w:tcPr>
          <w:p>
            <w:r>
              <w:t>缓存、Session存储、消息队列</w:t>
            </w:r>
          </w:p>
        </w:tc>
      </w:tr>
      <w:tr>
        <w:tc>
          <w:tcPr>
            <w:tcW w:type="dxa" w:w="2880"/>
          </w:tcPr>
          <w:p>
            <w:r>
              <w:t>MinIO</w:t>
            </w:r>
          </w:p>
        </w:tc>
        <w:tc>
          <w:tcPr>
            <w:tcW w:type="dxa" w:w="2880"/>
          </w:tcPr>
          <w:p>
            <w:r>
              <w:t>对象存储</w:t>
            </w:r>
          </w:p>
        </w:tc>
        <w:tc>
          <w:tcPr>
            <w:tcW w:type="dxa" w:w="2880"/>
          </w:tcPr>
          <w:p>
            <w:r>
              <w:t>文件和媒体资产存储</w:t>
            </w:r>
          </w:p>
        </w:tc>
      </w:tr>
    </w:tbl>
    <w:p>
      <w:r>
        <w:t>**架构优势**：</w:t>
      </w:r>
    </w:p>
    <w:p>
      <w:pPr>
        <w:pStyle w:val="ListBullet"/>
      </w:pPr>
      <w:r>
        <w:t>Docker Compose实现了开发与生产环境的一致性</w:t>
      </w:r>
    </w:p>
    <w:p>
      <w:pPr>
        <w:pStyle w:val="ListBullet"/>
      </w:pPr>
      <w:r>
        <w:t>PostgreSQL提供可靠的事务支持和结构化数据管理</w:t>
      </w:r>
    </w:p>
    <w:p>
      <w:pPr>
        <w:pStyle w:val="ListBullet"/>
      </w:pPr>
      <w:r>
        <w:t>Redis加速热数据访问，提升响应速度</w:t>
      </w:r>
    </w:p>
    <w:p>
      <w:pPr>
        <w:pStyle w:val="ListBullet"/>
      </w:pPr>
      <w:r>
        <w:t>MinIO提供S3兼容的对象存储能力，降低云服务依赖</w:t>
      </w:r>
    </w:p>
    <w:p>
      <w:pPr>
        <w:pStyle w:val="ListBullet"/>
      </w:pPr>
      <w:r>
        <w:t>Nginx作为入口层，实现统一的流量管理和安全控制</w:t>
      </w:r>
    </w:p>
    <w:p>
      <w:pPr>
        <w:pStyle w:val="Heading3"/>
      </w:pPr>
      <w:r>
        <w:t>第四阶段：管理后台</w:t>
      </w:r>
    </w:p>
    <w:p>
      <w:r>
        <w:t>**核心任务**：构建运营管理能力。</w:t>
      </w:r>
    </w:p>
    <w:p>
      <w:r>
        <w:t>**功能模块分析**：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租户管理</w:t>
            </w:r>
          </w:p>
        </w:tc>
        <w:tc>
          <w:tcPr>
            <w:tcW w:type="dxa" w:w="2880"/>
          </w:tcPr>
          <w:p>
            <w:r>
              <w:t>多客户隔离与配置管理</w:t>
            </w:r>
          </w:p>
        </w:tc>
        <w:tc>
          <w:tcPr>
            <w:tcW w:type="dxa" w:w="2880"/>
          </w:tcPr>
          <w:p>
            <w:r>
              <w:t>支持多租户商业模式</w:t>
            </w:r>
          </w:p>
        </w:tc>
      </w:tr>
      <w:tr>
        <w:tc>
          <w:tcPr>
            <w:tcW w:type="dxa" w:w="2880"/>
          </w:tcPr>
          <w:p>
            <w:r>
              <w:t>API Key管理</w:t>
            </w:r>
          </w:p>
        </w:tc>
        <w:tc>
          <w:tcPr>
            <w:tcW w:type="dxa" w:w="2880"/>
          </w:tcPr>
          <w:p>
            <w:r>
              <w:t>密钥生成、分配、撤销</w:t>
            </w:r>
          </w:p>
        </w:tc>
        <w:tc>
          <w:tcPr>
            <w:tcW w:type="dxa" w:w="2880"/>
          </w:tcPr>
          <w:p>
            <w:r>
              <w:t>实现按Key计量和计费</w:t>
            </w:r>
          </w:p>
        </w:tc>
      </w:tr>
      <w:tr>
        <w:tc>
          <w:tcPr>
            <w:tcW w:type="dxa" w:w="2880"/>
          </w:tcPr>
          <w:p>
            <w:r>
              <w:t>调用统计</w:t>
            </w:r>
          </w:p>
        </w:tc>
        <w:tc>
          <w:tcPr>
            <w:tcW w:type="dxa" w:w="2880"/>
          </w:tcPr>
          <w:p>
            <w:r>
              <w:t>使用量追踪与报表</w:t>
            </w:r>
          </w:p>
        </w:tc>
        <w:tc>
          <w:tcPr>
            <w:tcW w:type="dxa" w:w="2880"/>
          </w:tcPr>
          <w:p>
            <w:r>
              <w:t>为计费和优化提供数据支撑</w:t>
            </w:r>
          </w:p>
        </w:tc>
      </w:tr>
    </w:tbl>
    <w:p>
      <w:r>
        <w:t>**分析**：管理后台是SaaS化运营的必要组件。租户管理实现客户隔离，API Key管理实现访问控制和使用追踪，调用统计则为商业运营提供数据支撑。这三个模块的组合构建了完整的运营基础设施。</w:t>
      </w:r>
    </w:p>
    <w:p>
      <w:pPr>
        <w:pStyle w:val="Heading3"/>
      </w:pPr>
      <w:r>
        <w:t>第五阶段：交付保障</w:t>
      </w:r>
    </w:p>
    <w:p>
      <w:r>
        <w:t>**核心任务**：确保产品的可维护性和可交付性。</w:t>
      </w:r>
    </w:p>
    <w:p>
      <w:r>
        <w:t>**交付内容**：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交付文档</w:t>
            </w:r>
          </w:p>
        </w:tc>
        <w:tc>
          <w:tcPr>
            <w:tcW w:type="dxa" w:w="4320"/>
          </w:tcPr>
          <w:p>
            <w:r>
              <w:t>包含部署指南、API文档、运维手册，降低客户上手成本</w:t>
            </w:r>
          </w:p>
        </w:tc>
      </w:tr>
      <w:tr>
        <w:tc>
          <w:tcPr>
            <w:tcW w:type="dxa" w:w="4320"/>
          </w:tcPr>
          <w:p>
            <w:r>
              <w:t>备份恢复</w:t>
            </w:r>
          </w:p>
        </w:tc>
        <w:tc>
          <w:tcPr>
            <w:tcW w:type="dxa" w:w="4320"/>
          </w:tcPr>
          <w:p>
            <w:r>
              <w:t>数据安全保障，防止意外数据丢失</w:t>
            </w:r>
          </w:p>
        </w:tc>
      </w:tr>
      <w:tr>
        <w:tc>
          <w:tcPr>
            <w:tcW w:type="dxa" w:w="4320"/>
          </w:tcPr>
          <w:p>
            <w:r>
              <w:t>升级回滚</w:t>
            </w:r>
          </w:p>
        </w:tc>
        <w:tc>
          <w:tcPr>
            <w:tcW w:type="dxa" w:w="4320"/>
          </w:tcPr>
          <w:p>
            <w:r>
              <w:t>支持平滑升级和问题快速回退，保障服务连续性</w:t>
            </w:r>
          </w:p>
        </w:tc>
      </w:tr>
    </w:tbl>
    <w:p>
      <w:pPr>
        <w:pStyle w:val="Heading2"/>
      </w:pPr>
      <w:r>
        <w:t>四、验收标准分析</w:t>
      </w:r>
    </w:p>
    <w:p>
      <w:r>
        <w:t>文档明确提出了四条核心验收标准：</w:t>
      </w:r>
    </w:p>
    <w:p>
      <w:r>
        <w:t>**验收标准一：新服务器能部署**</w:t>
      </w:r>
    </w:p>
    <w:p>
      <w:r>
        <w:t>这意味着部署过程必须高度自动化和文档化，能够在全新环境中快速完成部署。这要求使用Infrastructure as Code（IaC）理念，配置文件化部署过程。</w:t>
      </w:r>
    </w:p>
    <w:p>
      <w:r>
        <w:t>**验收标准二：客户拿到API Key能调用**</w:t>
      </w:r>
    </w:p>
    <w:p>
      <w:r>
        <w:t>这要求API具有良好的可用性、清晰的文档和完善的SDK支持。首次调用体验直接影响客户留存。</w:t>
      </w:r>
    </w:p>
    <w:p>
      <w:r>
        <w:t>**验收标准三：后台能管理**</w:t>
      </w:r>
    </w:p>
    <w:p>
      <w:r>
        <w:t>运营人员能够通过管理后台完成日常工作，包括客户管理、问题排查和数据统计等。</w:t>
      </w:r>
    </w:p>
    <w:p>
      <w:r>
        <w:t>**验收标准四：文档能交付**</w:t>
      </w:r>
    </w:p>
    <w:p>
      <w:r>
        <w:t>这里的"交付"既指可交付的文档资产，也意味着文档质量达到商业产品标准。</w:t>
      </w:r>
    </w:p>
    <w:p>
      <w:r>
        <w:t>**核心理念**：这四条验收标准体现了以终为始的产品思维，关注的是最终用户价值和交付能力，而非开发过程指标。</w:t>
      </w:r>
    </w:p>
    <w:p>
      <w:pPr>
        <w:pStyle w:val="Heading2"/>
      </w:pPr>
      <w:r>
        <w:t>五、许可合规要求</w:t>
      </w:r>
    </w:p>
    <w:p>
      <w:r>
        <w:t>文档末尾特别提到了许可边界问题，这是一个经常被忽视但至关重要的法律合规要点：</w:t>
      </w:r>
    </w:p>
    <w:p>
      <w:r>
        <w:t>**风险点**：如果原仓库没有商业授权，则只能参考架构进行重写，不得直接商用原代码。</w:t>
      </w:r>
    </w:p>
    <w:p>
      <w:r>
        <w:t>**建议措施**：</w:t>
      </w:r>
    </w:p>
    <w:p>
      <w:pPr>
        <w:pStyle w:val="ListNumber"/>
      </w:pPr>
      <w:r>
        <w:t>1. 在项目启动前彻底审查原仓库的许可证类型</w:t>
      </w:r>
    </w:p>
    <w:p>
      <w:pPr>
        <w:pStyle w:val="ListNumber"/>
      </w:pPr>
      <w:r>
        <w:t>2. 如使用开源组件，确保遵守其许可证要求</w:t>
      </w:r>
    </w:p>
    <w:p>
      <w:pPr>
        <w:pStyle w:val="ListNumber"/>
      </w:pPr>
      <w:r>
        <w:t>3. 对于无法确认许可的部分，建议进行重写以规避法律风险</w:t>
      </w:r>
    </w:p>
    <w:p>
      <w:pPr>
        <w:pStyle w:val="ListNumber"/>
      </w:pPr>
      <w:r>
        <w:t>4. 考虑在最终产品中保留许可证归属的追溯能力</w:t>
      </w:r>
    </w:p>
    <w:p>
      <w:pPr>
        <w:pStyle w:val="Heading2"/>
      </w:pPr>
      <w:r>
        <w:t>六、整体架构视图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客户端/开发者     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Nginx (网关层)                         │</w:t>
        <w:br/>
        <w:t>│            负载均衡 | SSL终止 | 请求路由   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┌───────────────────┼───────────────────┐</w:t>
        <w:br/>
        <w:t xml:space="preserve">          ▼                   ▼                   ▼</w:t>
        <w:br/>
        <w:t xml:space="preserve">    ┌──────────┐       ┌──────────┐         ┌──────────┐</w:t>
        <w:br/>
        <w:t xml:space="preserve">    │   API    │       │   API    │         │   API    │</w:t>
        <w:br/>
        <w:t xml:space="preserve">    │  实例 1  │  ...  │  实例 N  │         │ 管理后台  │</w:t>
        <w:br/>
        <w:t xml:space="preserve">    └──────────┘       └──────────┘         └──────────┘</w:t>
        <w:br/>
        <w:t xml:space="preserve">          │                   │                   │</w:t>
        <w:br/>
        <w:t xml:space="preserve">          └───────────────────┼───────────────────┘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数据存储层                             │</w:t>
        <w:br/>
        <w:t>│  ┌─────────┐  ┌─────────┐  ┌─────────┐  ┌─────────┐    │</w:t>
        <w:br/>
        <w:t>│  │PostgreSQL│  │  Redis  │  │  MinIO  │  │  日志    │    │</w:t>
        <w:br/>
        <w:t>│  │(主数据库) │  │ (缓存)  │  │(对象存储)│  │ (存储)   │    │</w:t>
        <w:br/>
        <w:t>│  └─────────┘  └─────────┘  └─────────┘  └─────────┘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七、改造策略总结</w:t>
      </w:r>
    </w:p>
    <w:p>
      <w:r>
        <w:t>本文档体现的改造策略具有以下特点：</w:t>
      </w:r>
    </w:p>
    <w:p>
      <w:r>
        <w:t>**渐进式改造**：五阶段划分体现了循序渐进的思想，每个阶段都有明确的交付物和验收标准，降低了项目风险。</w:t>
      </w:r>
    </w:p>
    <w:p>
      <w:r>
        <w:t>**产品化思维**：从代码到产品的转变，要求不仅关注功能实现，更要关注部署便利性、运维友好性和文档完善性。</w:t>
      </w:r>
    </w:p>
    <w:p>
      <w:r>
        <w:t>**最小可行原则**：每个阶段都强调"最小化"，避免过度设计，快速验证假设。</w:t>
      </w:r>
    </w:p>
    <w:p>
      <w:r>
        <w:t>**可交付导向**：将"可部署、可调用、可管理、可交付"作为验收标准，确保改造工作的价值交付。</w:t>
      </w:r>
    </w:p>
    <w:p>
      <w:pPr>
        <w:pStyle w:val="Heading2"/>
      </w:pPr>
      <w:r>
        <w:t>八、后续建议</w:t>
      </w:r>
    </w:p>
    <w:p>
      <w:pPr>
        <w:pStyle w:val="ListNumber"/>
      </w:pPr>
      <w:r>
        <w:t>1. **细化阶段目标**：为每个阶段制定详细的里程碑和交付物清单</w:t>
      </w:r>
    </w:p>
    <w:p>
      <w:pPr>
        <w:pStyle w:val="ListNumber"/>
      </w:pPr>
      <w:r>
        <w:t>2. **建立技术规范**：统一编码规范、API设计规范和文档规范</w:t>
      </w:r>
    </w:p>
    <w:p>
      <w:pPr>
        <w:pStyle w:val="ListNumber"/>
      </w:pPr>
      <w:r>
        <w:t>3. **制定测试策略**：包括单元测试、集成测试和端到端测试</w:t>
      </w:r>
    </w:p>
    <w:p>
      <w:pPr>
        <w:pStyle w:val="ListNumber"/>
      </w:pPr>
      <w:r>
        <w:t>4. **考虑监控告警**：在基础设施层就考虑可观测性需求</w:t>
      </w:r>
    </w:p>
    <w:p>
      <w:pPr>
        <w:pStyle w:val="ListNumber"/>
      </w:pPr>
      <w:r>
        <w:t>5. **安全审计**：在第二阶段就纳入安全评审，而非后期补救</w:t>
      </w:r>
    </w:p>
    <w:p/>
    <w:p>
      <w:r>
        <w:t>**文档信息**</w:t>
      </w:r>
    </w:p>
    <w:p>
      <w:pPr>
        <w:pStyle w:val="ListBullet"/>
      </w:pPr>
      <w:r>
        <w:t>源文件：C:/Users/ht182/Desktop/文字文稿1.docx</w:t>
      </w:r>
    </w:p>
    <w:p>
      <w:pPr>
        <w:pStyle w:val="ListBullet"/>
      </w:pPr>
      <w:r>
        <w:t>分析日期：2026-04-16</w:t>
      </w:r>
    </w:p>
    <w:p>
      <w:pPr>
        <w:pStyle w:val="ListBullet"/>
      </w:pPr>
      <w:r>
        <w:t>报告版本：v1.0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