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maicplus</w:t>
      </w:r>
      <w:r>
        <w:t xml:space="preserve"> </w:t>
      </w:r>
      <w:r>
        <w:t xml:space="preserve">-</w:t>
      </w:r>
      <w:r>
        <w:t xml:space="preserve"> </w:t>
      </w:r>
      <w:r>
        <w:t xml:space="preserve">unanchored</w:t>
      </w:r>
      <w:r>
        <w:t xml:space="preserve"> </w:t>
      </w:r>
      <w:r>
        <w:t xml:space="preserve">case</w:t>
      </w:r>
    </w:p>
    <w:p>
      <w:pPr>
        <w:pStyle w:val="Date"/>
      </w:pPr>
      <w:r>
        <w:t xml:space="preserve">2024-03-13</w:t>
      </w:r>
    </w:p>
    <w:bookmarkStart w:id="20" w:name="introduction"/>
    <w:p>
      <w:pPr>
        <w:pStyle w:val="Heading1"/>
      </w:pPr>
      <w:r>
        <w:t xml:space="preserve">Introduction</w:t>
      </w:r>
    </w:p>
    <w:p>
      <w:pPr>
        <w:pStyle w:val="FirstParagraph"/>
      </w:pPr>
      <w:r>
        <w:t xml:space="preserve">This package describes the steps required to perform a matching-adjusted indirect comparison (MAIC) analysis using the</w:t>
      </w:r>
      <w:r>
        <w:t xml:space="preserve"> </w:t>
      </w:r>
      <w:r>
        <w:rPr>
          <w:rStyle w:val="VerbatimChar"/>
        </w:rPr>
        <w:t xml:space="preserve">maicplus</w:t>
      </w:r>
      <w:r>
        <w:t xml:space="preserve"> </w:t>
      </w:r>
      <w:r>
        <w:t xml:space="preserve">package in R where the endpoint of interest is either time-to-event (e.g. overall survival) or binary</w:t>
      </w:r>
      <w:r>
        <w:t xml:space="preserve"> </w:t>
      </w:r>
      <w:r>
        <w:t xml:space="preserve">(e.g. objective tumor response).</w:t>
      </w:r>
    </w:p>
    <w:p>
      <w:pPr>
        <w:pStyle w:val="BodyText"/>
      </w:pPr>
      <w:r>
        <w:t xml:space="preserve">The methods described in this document are based on those originally described by Signorovitch et al. 2010 and described in the National Institute for Health and Care Excellence (NICE) Decision Support Unit (DSU) Technical Support</w:t>
      </w:r>
      <w:r>
        <w:t xml:space="preserve"> </w:t>
      </w:r>
      <w:r>
        <w:t xml:space="preserve">Document (TSD) 18.</w:t>
      </w:r>
      <w:r>
        <w:t xml:space="preserve"> </w:t>
      </w:r>
      <w:r>
        <w:t xml:space="preserve">[1,2]</w:t>
      </w:r>
    </w:p>
    <w:p>
      <w:pPr>
        <w:pStyle w:val="BodyText"/>
      </w:pPr>
      <w:r>
        <w:t xml:space="preserve">When there is no common comparator treatment to link a clinical trial of a new intervention to clinical trials of other comparator treatments, it is referred to as an unanchored MAIC. When there is a common comparator available to link, it is referred to as an anchored MAIC.</w:t>
      </w:r>
    </w:p>
    <w:p>
      <w:pPr>
        <w:pStyle w:val="BodyText"/>
      </w:pPr>
      <w:r>
        <w:t xml:space="preserve">The premise of MAIC methods is to adjust for between-trial differences in patient demographic or disease characteristics at baseline. When a common treatment comparator is unavailable, a MAIC assumes that differences between absolute outcomes that would be observed in each trial are entirely explained by imbalances in prognostic variables and effect modifiers. Under this assumption, every prognostic variable and every effect modifier that is imbalanced between the two studies must be available. This assumption is generally considered very difficult to meet.</w:t>
      </w:r>
      <w:r>
        <w:t xml:space="preserve"> </w:t>
      </w:r>
      <w:r>
        <w:t xml:space="preserve">[2]</w:t>
      </w:r>
    </w:p>
    <w:p>
      <w:pPr>
        <w:pStyle w:val="BodyText"/>
      </w:pPr>
      <w:r>
        <w:t xml:space="preserve">There are several ways of identifying prognostic variables/effect modifiers to be used in the MAIC analyses. We can approach from a clinical perspective, seeking advice from clinical experts or looking into published paper or previous regulatory submissions. We can also approach it from a data perspective, exploring regression models or subgroup analysis to identify interactions between baseline characteristics and treatment effect.</w:t>
      </w:r>
    </w:p>
    <w:bookmarkEnd w:id="20"/>
    <w:bookmarkStart w:id="21" w:name="statistical-theory-behind-maic"/>
    <w:p>
      <w:pPr>
        <w:pStyle w:val="Heading1"/>
      </w:pPr>
      <w:r>
        <w:t xml:space="preserve">Statistical theory behind MAIC</w:t>
      </w:r>
    </w:p>
    <w:p>
      <w:pPr>
        <w:pStyle w:val="FirstParagraph"/>
      </w:pPr>
      <w:r>
        <w:t xml:space="preserve">We will briefly go over the statistical theory behind MAIC. For more detailed information, refer to Signorovitch et al. 2010.</w:t>
      </w:r>
      <w:r>
        <w:t xml:space="preserve"> </w:t>
      </w:r>
      <w:r>
        <w:t xml:space="preserve">[1]</w:t>
      </w:r>
    </w:p>
    <w:p>
      <w:pPr>
        <w:pStyle w:val="BodyText"/>
      </w:pPr>
      <w:r>
        <w:t xml:space="preserve">Let us define</w:t>
      </w:r>
      <w:r>
        <w:t xml:space="preserve"> </w:t>
      </w:r>
      <m:oMath>
        <m:sSub>
          <m:e>
            <m:r>
              <m:t>t</m:t>
            </m:r>
          </m:e>
          <m:sub>
            <m:r>
              <m:t>i</m:t>
            </m:r>
          </m:sub>
        </m:sSub>
      </m:oMath>
      <w:r>
        <w:t xml:space="preserve"> </w:t>
      </w:r>
      <w:r>
        <w:t xml:space="preserve">to be the treatment patient</w:t>
      </w:r>
      <w:r>
        <w:t xml:space="preserve"> </w:t>
      </w:r>
      <m:oMath>
        <m:r>
          <m:t>i</m:t>
        </m:r>
      </m:oMath>
      <w:r>
        <w:t xml:space="preserve"> </w:t>
      </w:r>
      <w:r>
        <w:t xml:space="preserve">received. We assume</w:t>
      </w:r>
      <w:r>
        <w:t xml:space="preserve"> </w:t>
      </w:r>
      <m:oMath>
        <m:sSub>
          <m:e>
            <m:r>
              <m:t>t</m:t>
            </m:r>
          </m:e>
          <m:sub>
            <m:r>
              <m:t>i</m:t>
            </m:r>
          </m:sub>
        </m:sSub>
        <m:r>
          <m:rPr>
            <m:sty m:val="p"/>
          </m:rPr>
          <m:t>=</m:t>
        </m:r>
        <m:r>
          <m:t>0</m:t>
        </m:r>
      </m:oMath>
      <w:r>
        <w:t xml:space="preserve"> </w:t>
      </w:r>
      <w:r>
        <w:t xml:space="preserve">if the patient received intervention (IPD) and</w:t>
      </w:r>
      <w:r>
        <w:t xml:space="preserve"> </w:t>
      </w:r>
      <m:oMath>
        <m:sSub>
          <m:e>
            <m:r>
              <m:t>t</m:t>
            </m:r>
          </m:e>
          <m:sub>
            <m:r>
              <m:t>i</m:t>
            </m:r>
          </m:sub>
        </m:sSub>
        <m:r>
          <m:rPr>
            <m:sty m:val="p"/>
          </m:rPr>
          <m:t>=</m:t>
        </m:r>
        <m:r>
          <m:t>1</m:t>
        </m:r>
      </m:oMath>
      <w:r>
        <w:t xml:space="preserve"> </w:t>
      </w:r>
      <w:r>
        <w:t xml:space="preserve">if the patient received comparator treatment. The causal effect of treatment</w:t>
      </w:r>
      <w:r>
        <w:t xml:space="preserve"> </w:t>
      </w:r>
      <m:oMath>
        <m:r>
          <m:t>T</m:t>
        </m:r>
        <m:r>
          <m:rPr>
            <m:sty m:val="p"/>
          </m:rPr>
          <m:t>=</m:t>
        </m:r>
        <m:r>
          <m:t>0</m:t>
        </m:r>
      </m:oMath>
      <w:r>
        <w:t xml:space="preserve"> </w:t>
      </w:r>
      <w:r>
        <w:t xml:space="preserve">vs</w:t>
      </w:r>
      <w:r>
        <w:t xml:space="preserve"> </w:t>
      </w:r>
      <m:oMath>
        <m:r>
          <m:t>T</m:t>
        </m:r>
        <m:r>
          <m:rPr>
            <m:sty m:val="p"/>
          </m:rPr>
          <m:t>=</m:t>
        </m:r>
        <m:r>
          <m:t>1</m:t>
        </m:r>
      </m:oMath>
      <w:r>
        <w:t xml:space="preserve"> </w:t>
      </w:r>
      <w:r>
        <w:t xml:space="preserve">on the</w:t>
      </w:r>
      <w:r>
        <w:t xml:space="preserve"> </w:t>
      </w:r>
      <w:r>
        <w:t xml:space="preserve">mean of the outcome</w:t>
      </w:r>
      <w:r>
        <w:t xml:space="preserve"> </w:t>
      </w:r>
      <m:oMath>
        <m:r>
          <m:t>Y</m:t>
        </m:r>
      </m:oMath>
      <w:r>
        <w:t xml:space="preserve"> </w:t>
      </w:r>
      <w:r>
        <w:t xml:space="preserve">can be estimated as below</w:t>
      </w:r>
    </w:p>
    <w:p>
      <w:pPr>
        <w:pStyle w:val="BodyText"/>
      </w:pPr>
      <m:oMathPara>
        <m:oMathParaPr>
          <m:jc m:val="center"/>
        </m:oMathParaPr>
        <m:oMath>
          <m:f>
            <m:fPr>
              <m:type m:val="bar"/>
            </m:fPr>
            <m:num>
              <m:nary>
                <m:naryPr>
                  <m:chr m:val="∑"/>
                  <m:limLoc m:val="undOvr"/>
                  <m:subHide m:val="0"/>
                  <m:supHide m:val="0"/>
                </m:naryPr>
                <m:sub>
                  <m:r>
                    <m:t>i</m:t>
                  </m:r>
                  <m:r>
                    <m:rPr>
                      <m:sty m:val="p"/>
                    </m:rPr>
                    <m:t>=</m:t>
                  </m:r>
                  <m:r>
                    <m:t>1</m:t>
                  </m:r>
                </m:sub>
                <m:sup>
                  <m:r>
                    <m:t>n</m:t>
                  </m:r>
                </m:sup>
                <m:e>
                  <m:sSub>
                    <m:e>
                      <m:r>
                        <m:t>y</m:t>
                      </m:r>
                    </m:e>
                    <m:sub>
                      <m:r>
                        <m:t>i</m:t>
                      </m:r>
                    </m:sub>
                  </m:sSub>
                </m:e>
              </m:nary>
              <m:d>
                <m:dPr>
                  <m:begChr m:val="("/>
                  <m:endChr m:val=")"/>
                  <m:sepChr m:val=""/>
                  <m:grow/>
                </m:dPr>
                <m:e>
                  <m:r>
                    <m:t>1</m:t>
                  </m:r>
                  <m:r>
                    <m:rPr>
                      <m:sty m:val="p"/>
                    </m:rPr>
                    <m:t>−</m:t>
                  </m:r>
                  <m:sSub>
                    <m:e>
                      <m:r>
                        <m:t>t</m:t>
                      </m:r>
                    </m:e>
                    <m:sub>
                      <m:r>
                        <m:t>i</m:t>
                      </m:r>
                    </m:sub>
                  </m:sSub>
                </m:e>
              </m:d>
              <m:sSub>
                <m:e>
                  <m:r>
                    <m:t>w</m:t>
                  </m:r>
                </m:e>
                <m:sub>
                  <m:r>
                    <m:t>i</m:t>
                  </m:r>
                </m:sub>
              </m:sSub>
            </m:num>
            <m:den>
              <m:nary>
                <m:naryPr>
                  <m:chr m:val="∑"/>
                  <m:limLoc m:val="undOvr"/>
                  <m:subHide m:val="0"/>
                  <m:supHide m:val="0"/>
                </m:naryPr>
                <m:sub>
                  <m:r>
                    <m:t>i</m:t>
                  </m:r>
                  <m:r>
                    <m:rPr>
                      <m:sty m:val="p"/>
                    </m:rPr>
                    <m:t>=</m:t>
                  </m:r>
                  <m:r>
                    <m:t>1</m:t>
                  </m:r>
                </m:sub>
                <m:sup>
                  <m:r>
                    <m:t>n</m:t>
                  </m:r>
                </m:sup>
                <m:e>
                  <m:d>
                    <m:dPr>
                      <m:begChr m:val="("/>
                      <m:endChr m:val=")"/>
                      <m:sepChr m:val=""/>
                      <m:grow/>
                    </m:dPr>
                    <m:e>
                      <m:r>
                        <m:t>1</m:t>
                      </m:r>
                      <m:r>
                        <m:rPr>
                          <m:sty m:val="p"/>
                        </m:rPr>
                        <m:t>−</m:t>
                      </m:r>
                      <m:sSub>
                        <m:e>
                          <m:r>
                            <m:t>t</m:t>
                          </m:r>
                        </m:e>
                        <m:sub>
                          <m:r>
                            <m:t>i</m:t>
                          </m:r>
                        </m:sub>
                      </m:sSub>
                    </m:e>
                  </m:d>
                </m:e>
              </m:nary>
              <m:sSub>
                <m:e>
                  <m:r>
                    <m:t>w</m:t>
                  </m:r>
                </m:e>
                <m:sub>
                  <m:r>
                    <m:t>i</m:t>
                  </m:r>
                </m:sub>
              </m:sSub>
            </m:den>
          </m:f>
          <m:r>
            <m:rPr>
              <m:sty m:val="p"/>
            </m:rPr>
            <m:t>−</m:t>
          </m:r>
          <m:sSub>
            <m:e>
              <m:acc>
                <m:accPr>
                  <m:chr m:val="‾"/>
                </m:accPr>
                <m:e>
                  <m:r>
                    <m:t>y</m:t>
                  </m:r>
                </m:e>
              </m:acc>
            </m:e>
            <m:sub>
              <m:r>
                <m:t>1</m:t>
              </m:r>
            </m:sub>
          </m:sSub>
        </m:oMath>
      </m:oMathPara>
    </w:p>
    <w:p>
      <w:pPr>
        <w:pStyle w:val="FirstParagraph"/>
      </w:pPr>
      <w:r>
        <w:t xml:space="preserve">where</w:t>
      </w:r>
      <w:r>
        <w:t xml:space="preserve"> </w:t>
      </w:r>
      <m:oMath>
        <m:sSub>
          <m:e>
            <m:r>
              <m:t>w</m:t>
            </m:r>
          </m:e>
          <m:sub>
            <m:r>
              <m:t>i</m:t>
            </m:r>
          </m:sub>
        </m:sSub>
        <m:r>
          <m:rPr>
            <m:sty m:val="p"/>
          </m:rPr>
          <m:t>=</m:t>
        </m:r>
        <m:f>
          <m:fPr>
            <m:type m:val="bar"/>
          </m:fPr>
          <m:num>
            <m:r>
              <m:t>P</m:t>
            </m:r>
            <m:r>
              <m:t>r</m:t>
            </m:r>
            <m:d>
              <m:dPr>
                <m:begChr m:val="("/>
                <m:endChr m:val=")"/>
                <m:sepChr m:val=""/>
                <m:grow/>
              </m:dPr>
              <m:e>
                <m:sSub>
                  <m:e>
                    <m:r>
                      <m:t>T</m:t>
                    </m:r>
                  </m:e>
                  <m:sub>
                    <m:r>
                      <m:t>i</m:t>
                    </m:r>
                  </m:sub>
                </m:sSub>
                <m:r>
                  <m:rPr>
                    <m:sty m:val="p"/>
                  </m:rPr>
                  <m:t>=</m:t>
                </m:r>
                <m:r>
                  <m:t>1</m:t>
                </m:r>
                <m:r>
                  <m:rPr>
                    <m:sty m:val="p"/>
                  </m:rPr>
                  <m:t>∣</m:t>
                </m:r>
                <m:sSub>
                  <m:e>
                    <m:r>
                      <m:t>x</m:t>
                    </m:r>
                  </m:e>
                  <m:sub>
                    <m:r>
                      <m:t>i</m:t>
                    </m:r>
                  </m:sub>
                </m:sSub>
              </m:e>
            </m:d>
          </m:num>
          <m:den>
            <m:r>
              <m:t>P</m:t>
            </m:r>
            <m:r>
              <m:t>r</m:t>
            </m:r>
            <m:d>
              <m:dPr>
                <m:begChr m:val="("/>
                <m:endChr m:val=")"/>
                <m:sepChr m:val=""/>
                <m:grow/>
              </m:dPr>
              <m:e>
                <m:sSub>
                  <m:e>
                    <m:r>
                      <m:t>T</m:t>
                    </m:r>
                  </m:e>
                  <m:sub>
                    <m:r>
                      <m:t>i</m:t>
                    </m:r>
                  </m:sub>
                </m:sSub>
                <m:r>
                  <m:rPr>
                    <m:sty m:val="p"/>
                  </m:rPr>
                  <m:t>=</m:t>
                </m:r>
                <m:r>
                  <m:t>0</m:t>
                </m:r>
                <m:r>
                  <m:rPr>
                    <m:sty m:val="p"/>
                  </m:rPr>
                  <m:t>∣</m:t>
                </m:r>
                <m:sSub>
                  <m:e>
                    <m:r>
                      <m:t>x</m:t>
                    </m:r>
                  </m:e>
                  <m:sub>
                    <m:r>
                      <m:t>i</m:t>
                    </m:r>
                  </m:sub>
                </m:sSub>
              </m:e>
            </m:d>
          </m:den>
        </m:f>
      </m:oMath>
      <w:r>
        <w:t xml:space="preserve"> </w:t>
      </w:r>
      <w:r>
        <w:t xml:space="preserve">is the odds that patient</w:t>
      </w:r>
      <w:r>
        <w:t xml:space="preserve"> </w:t>
      </w:r>
      <m:oMath>
        <m:r>
          <m:t>i</m:t>
        </m:r>
      </m:oMath>
      <w:r>
        <w:t xml:space="preserve"> </w:t>
      </w:r>
      <w:r>
        <w:t xml:space="preserve">received treatment</w:t>
      </w:r>
      <w:r>
        <w:t xml:space="preserve"> </w:t>
      </w:r>
      <m:oMath>
        <m:r>
          <m:t>T</m:t>
        </m:r>
        <m:r>
          <m:rPr>
            <m:sty m:val="p"/>
          </m:rPr>
          <m:t>=</m:t>
        </m:r>
        <m:r>
          <m:t>1</m:t>
        </m:r>
      </m:oMath>
      <w:r>
        <w:t xml:space="preserve"> </w:t>
      </w:r>
      <w:r>
        <w:t xml:space="preserve">vs</w:t>
      </w:r>
      <w:r>
        <w:t xml:space="preserve"> </w:t>
      </w:r>
      <m:oMath>
        <m:r>
          <m:t>T</m:t>
        </m:r>
        <m:r>
          <m:rPr>
            <m:sty m:val="p"/>
          </m:rPr>
          <m:t>=</m:t>
        </m:r>
        <m:r>
          <m:t>0</m:t>
        </m:r>
      </m:oMath>
      <w:r>
        <w:t xml:space="preserve"> </w:t>
      </w:r>
      <w:r>
        <w:t xml:space="preserve">(i.e. enrolls in aggregate data study vs IPD study) given baseline characteristics</w:t>
      </w:r>
      <w:r>
        <w:t xml:space="preserve"> </w:t>
      </w:r>
      <m:oMath>
        <m:sSub>
          <m:e>
            <m:r>
              <m:t>x</m:t>
            </m:r>
          </m:e>
          <m:sub>
            <m:r>
              <m:t>i</m:t>
            </m:r>
          </m:sub>
        </m:sSub>
      </m:oMath>
      <w:r>
        <w:t xml:space="preserve">. Thus, the patients receiving</w:t>
      </w:r>
      <w:r>
        <w:t xml:space="preserve"> </w:t>
      </w:r>
      <m:oMath>
        <m:r>
          <m:t>T</m:t>
        </m:r>
        <m:r>
          <m:rPr>
            <m:sty m:val="p"/>
          </m:rPr>
          <m:t>=</m:t>
        </m:r>
        <m:r>
          <m:t>0</m:t>
        </m:r>
      </m:oMath>
      <w:r>
        <w:t xml:space="preserve"> </w:t>
      </w:r>
      <w:r>
        <w:t xml:space="preserve">are re-weighted to match the distribution of patients receiving</w:t>
      </w:r>
      <w:r>
        <w:t xml:space="preserve"> </w:t>
      </w:r>
      <m:oMath>
        <m:r>
          <m:t>T</m:t>
        </m:r>
        <m:r>
          <m:rPr>
            <m:sty m:val="p"/>
          </m:rPr>
          <m:t>=</m:t>
        </m:r>
        <m:r>
          <m:t>1</m:t>
        </m:r>
      </m:oMath>
      <w:r>
        <w:t xml:space="preserve">. Note that this causal effect would be the case when the outcome</w:t>
      </w:r>
      <w:r>
        <w:t xml:space="preserve"> </w:t>
      </w:r>
      <m:oMath>
        <m:r>
          <m:t>Y</m:t>
        </m:r>
      </m:oMath>
      <w:r>
        <w:t xml:space="preserve"> </w:t>
      </w:r>
      <w:r>
        <w:t xml:space="preserve">is continuous. If the outcome is binary,</w:t>
      </w:r>
      <w:r>
        <w:t xml:space="preserve"> </w:t>
      </w:r>
      <m:oMath>
        <m:r>
          <m:t>Y</m:t>
        </m:r>
      </m:oMath>
      <w:r>
        <w:t xml:space="preserve"> </w:t>
      </w:r>
      <w:r>
        <w:t xml:space="preserve">would be a proportion and we would use a link function such as logit to give us the causal effect in an odds ratio scale. As in propensity score methods, we may</w:t>
      </w:r>
      <w:r>
        <w:t xml:space="preserve"> </w:t>
      </w:r>
      <w:r>
        <w:t xml:space="preserve">assume</w:t>
      </w:r>
      <w:r>
        <w:t xml:space="preserve"> </w:t>
      </w:r>
      <m:oMath>
        <m:sSub>
          <m:e>
            <m:r>
              <m:t>w</m:t>
            </m:r>
          </m:e>
          <m:sub>
            <m:r>
              <m:t>i</m:t>
            </m:r>
          </m:sub>
        </m:sSub>
      </m:oMath>
      <w:r>
        <w:t xml:space="preserve"> </w:t>
      </w:r>
      <w:r>
        <w:t xml:space="preserve">to follow logistic regression form</w:t>
      </w:r>
    </w:p>
    <w:p>
      <w:pPr>
        <w:pStyle w:val="BodyText"/>
      </w:pPr>
      <m:oMathPara>
        <m:oMathParaPr>
          <m:jc m:val="center"/>
        </m:oMathParaPr>
        <m:oMath>
          <m:sSub>
            <m:e>
              <m:r>
                <m:t>w</m:t>
              </m:r>
            </m:e>
            <m:sub>
              <m:r>
                <m:t>i</m:t>
              </m:r>
            </m:sub>
          </m:sSub>
          <m:r>
            <m:rPr>
              <m:sty m:val="p"/>
            </m:rPr>
            <m:t>=</m:t>
          </m:r>
          <m:r>
            <m:t>e</m:t>
          </m:r>
          <m:r>
            <m:t>x</m:t>
          </m:r>
          <m:r>
            <m:t>p</m:t>
          </m:r>
          <m:d>
            <m:dPr>
              <m:begChr m:val="("/>
              <m:endChr m:val=")"/>
              <m:sepChr m:val=""/>
              <m:grow/>
            </m:dPr>
            <m:e>
              <m:sSubSup>
                <m:e>
                  <m:r>
                    <m:t>x</m:t>
                  </m:r>
                </m:e>
                <m:sub>
                  <m:r>
                    <m:t>i</m:t>
                  </m:r>
                </m:sub>
                <m:sup>
                  <m:r>
                    <m:t>T</m:t>
                  </m:r>
                </m:sup>
              </m:sSubSup>
              <m:r>
                <m:t>β</m:t>
              </m:r>
            </m:e>
          </m:d>
        </m:oMath>
      </m:oMathPara>
    </w:p>
    <w:p>
      <w:pPr>
        <w:pStyle w:val="FirstParagraph"/>
      </w:pPr>
      <w:r>
        <w:t xml:space="preserve">However, in order to estimate</w:t>
      </w:r>
      <w:r>
        <w:t xml:space="preserve"> </w:t>
      </w:r>
      <m:oMath>
        <m:r>
          <m:t>β</m:t>
        </m:r>
      </m:oMath>
      <w:r>
        <w:t xml:space="preserve">, we cannot use maximum likelihood approach because we do not have IPD for both trials. Instead, we use method of moments. We estimate</w:t>
      </w:r>
      <w:r>
        <w:t xml:space="preserve"> </w:t>
      </w:r>
      <m:oMath>
        <m:r>
          <m:t>β</m:t>
        </m:r>
      </m:oMath>
      <w:r>
        <w:t xml:space="preserve"> </w:t>
      </w:r>
      <w:r>
        <w:t xml:space="preserve">such that the weighted averages of the covariates in the IPD exactly matches the aggregate data averages. Mathematically speaking, we want to estimate</w:t>
      </w:r>
      <w:r>
        <w:t xml:space="preserve"> </w:t>
      </w:r>
      <m:oMath>
        <m:r>
          <m:t>β</m:t>
        </m:r>
      </m:oMath>
      <w:r>
        <w:t xml:space="preserve"> </w:t>
      </w:r>
      <w:r>
        <w:t xml:space="preserve">such that:</w:t>
      </w:r>
    </w:p>
    <w:p>
      <w:pPr>
        <w:pStyle w:val="BodyText"/>
      </w:pPr>
      <m:oMathPara>
        <m:oMathParaPr>
          <m:jc m:val="center"/>
        </m:oMathParaPr>
        <m:oMath>
          <m:r>
            <m:t>0</m:t>
          </m:r>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r>
                <m:t>e</m:t>
              </m:r>
              <m:r>
                <m:t>x</m:t>
              </m:r>
              <m:r>
                <m:t>p</m:t>
              </m:r>
              <m:d>
                <m:dPr>
                  <m:begChr m:val="("/>
                  <m:endChr m:val=")"/>
                  <m:sepChr m:val=""/>
                  <m:grow/>
                </m:dPr>
                <m:e>
                  <m:sSubSup>
                    <m:e>
                      <m:r>
                        <m:t>x</m:t>
                      </m:r>
                    </m:e>
                    <m:sub>
                      <m:r>
                        <m:t>i</m:t>
                      </m:r>
                    </m:sub>
                    <m:sup>
                      <m:r>
                        <m:t>T</m:t>
                      </m:r>
                    </m:sup>
                  </m:sSubSup>
                  <m:acc>
                    <m:accPr>
                      <m:chr m:val="̂"/>
                    </m:accPr>
                    <m:e>
                      <m:r>
                        <m:t>β</m:t>
                      </m:r>
                    </m:e>
                  </m:acc>
                </m:e>
              </m:d>
            </m:num>
            <m:den>
              <m:nary>
                <m:naryPr>
                  <m:chr m:val="∑"/>
                  <m:limLoc m:val="undOvr"/>
                  <m:subHide m:val="0"/>
                  <m:supHide m:val="0"/>
                </m:naryPr>
                <m:sub>
                  <m:r>
                    <m:t>i</m:t>
                  </m:r>
                  <m:r>
                    <m:rPr>
                      <m:sty m:val="p"/>
                    </m:rPr>
                    <m:t>=</m:t>
                  </m:r>
                  <m:r>
                    <m:t>1</m:t>
                  </m:r>
                </m:sub>
                <m:sup>
                  <m:r>
                    <m:t>n</m:t>
                  </m:r>
                </m:sup>
                <m:e>
                  <m:r>
                    <m:t>e</m:t>
                  </m:r>
                </m:e>
              </m:nary>
              <m:r>
                <m:t>x</m:t>
              </m:r>
              <m:r>
                <m:t>p</m:t>
              </m:r>
              <m:d>
                <m:dPr>
                  <m:begChr m:val="("/>
                  <m:endChr m:val=")"/>
                  <m:sepChr m:val=""/>
                  <m:grow/>
                </m:dPr>
                <m:e>
                  <m:sSubSup>
                    <m:e>
                      <m:r>
                        <m:t>x</m:t>
                      </m:r>
                    </m:e>
                    <m:sub>
                      <m:r>
                        <m:t>i</m:t>
                      </m:r>
                    </m:sub>
                    <m:sup>
                      <m:r>
                        <m:t>T</m:t>
                      </m:r>
                    </m:sup>
                  </m:sSubSup>
                  <m:acc>
                    <m:accPr>
                      <m:chr m:val="̂"/>
                    </m:accPr>
                    <m:e>
                      <m:r>
                        <m:t>β</m:t>
                      </m:r>
                    </m:e>
                  </m:acc>
                </m:e>
              </m:d>
            </m:den>
          </m:f>
          <m:r>
            <m:rPr>
              <m:sty m:val="p"/>
            </m:rPr>
            <m:t>−</m:t>
          </m:r>
          <m:sSub>
            <m:e>
              <m:acc>
                <m:accPr>
                  <m:chr m:val="‾"/>
                </m:accPr>
                <m:e>
                  <m:r>
                    <m:t>x</m:t>
                  </m:r>
                </m:e>
              </m:acc>
            </m:e>
            <m:sub>
              <m:r>
                <m:t>a</m:t>
              </m:r>
              <m:r>
                <m:t>g</m:t>
              </m:r>
              <m:r>
                <m:t>g</m:t>
              </m:r>
            </m:sub>
          </m:sSub>
        </m:oMath>
      </m:oMathPara>
    </w:p>
    <w:p>
      <w:pPr>
        <w:pStyle w:val="FirstParagraph"/>
      </w:pPr>
      <w:r>
        <w:t xml:space="preserve">If the</w:t>
      </w:r>
      <w:r>
        <w:t xml:space="preserve"> </w:t>
      </w:r>
      <m:oMath>
        <m:sSub>
          <m:e>
            <m:r>
              <m:t>x</m:t>
            </m:r>
          </m:e>
          <m:sub>
            <m:r>
              <m:t>i</m:t>
            </m:r>
          </m:sub>
        </m:sSub>
      </m:oMath>
      <w:r>
        <w:t xml:space="preserve"> </w:t>
      </w:r>
      <w:r>
        <w:t xml:space="preserve">contains all confounders and the logistic regression for</w:t>
      </w:r>
      <w:r>
        <w:t xml:space="preserve"> </w:t>
      </w:r>
      <m:oMath>
        <m:sSub>
          <m:e>
            <m:r>
              <m:t>w</m:t>
            </m:r>
          </m:e>
          <m:sub>
            <m:r>
              <m:t>i</m:t>
            </m:r>
          </m:sub>
        </m:sSub>
      </m:oMath>
      <w:r>
        <w:t xml:space="preserve"> </w:t>
      </w:r>
      <w:r>
        <w:t xml:space="preserve">is correctly specified, we obtain a consistent estimate of the causal effect of intervention vs comparator treatment. Above equation is equivalent to</w:t>
      </w:r>
    </w:p>
    <w:p>
      <w:pPr>
        <w:pStyle w:val="BodyText"/>
      </w:pPr>
      <m:oMathPara>
        <m:oMathParaPr>
          <m:jc m:val="center"/>
        </m:oMathParaPr>
        <m:oMath>
          <m:r>
            <m:t>0</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sSub>
                    <m:e>
                      <m:acc>
                        <m:accPr>
                          <m:chr m:val="‾"/>
                        </m:accPr>
                        <m:e>
                          <m:r>
                            <m:t>x</m:t>
                          </m:r>
                        </m:e>
                      </m:acc>
                    </m:e>
                    <m:sub>
                      <m:r>
                        <m:t>a</m:t>
                      </m:r>
                      <m:r>
                        <m:t>g</m:t>
                      </m:r>
                      <m:r>
                        <m:t>g</m:t>
                      </m:r>
                    </m:sub>
                  </m:sSub>
                </m:e>
              </m:d>
            </m:e>
          </m:nary>
          <m:r>
            <m:t>e</m:t>
          </m:r>
          <m:r>
            <m:t>x</m:t>
          </m:r>
          <m:r>
            <m:t>p</m:t>
          </m:r>
          <m:d>
            <m:dPr>
              <m:begChr m:val="("/>
              <m:endChr m:val=")"/>
              <m:sepChr m:val=""/>
              <m:grow/>
            </m:dPr>
            <m:e>
              <m:sSubSup>
                <m:e>
                  <m:r>
                    <m:t>x</m:t>
                  </m:r>
                </m:e>
                <m:sub>
                  <m:r>
                    <m:t>i</m:t>
                  </m:r>
                </m:sub>
                <m:sup>
                  <m:r>
                    <m:t>T</m:t>
                  </m:r>
                </m:sup>
              </m:sSubSup>
              <m:acc>
                <m:accPr>
                  <m:chr m:val="̂"/>
                </m:accPr>
                <m:e>
                  <m:r>
                    <m:t>β</m:t>
                  </m:r>
                </m:e>
              </m:acc>
            </m:e>
          </m:d>
        </m:oMath>
      </m:oMathPara>
    </w:p>
    <w:p>
      <w:pPr>
        <w:pStyle w:val="FirstParagraph"/>
      </w:pPr>
      <w:r>
        <w:t xml:space="preserve">We could transform IPD by subtracting the aggregate data means (this is why we center IPD in the preprocessing step in</w:t>
      </w:r>
      <w:r>
        <w:t xml:space="preserve"> </w:t>
      </w:r>
      <w:r>
        <w:rPr>
          <w:rStyle w:val="VerbatimChar"/>
        </w:rPr>
        <w:t xml:space="preserve">maicplus</w:t>
      </w:r>
      <w:r>
        <w:t xml:space="preserve">)</w:t>
      </w:r>
    </w:p>
    <w:p>
      <w:pPr>
        <w:pStyle w:val="BodyText"/>
      </w:pPr>
      <m:oMathPara>
        <m:oMathParaPr>
          <m:jc m:val="center"/>
        </m:oMathParaPr>
        <m:oMath>
          <m:r>
            <m:t>0</m:t>
          </m:r>
          <m:r>
            <m:rPr>
              <m:sty m:val="p"/>
            </m:rPr>
            <m:t>=</m:t>
          </m:r>
          <m:nary>
            <m:naryPr>
              <m:chr m:val="∑"/>
              <m:limLoc m:val="undOvr"/>
              <m:subHide m:val="0"/>
              <m:supHide m:val="0"/>
            </m:naryPr>
            <m:sub>
              <m:r>
                <m:t>i</m:t>
              </m:r>
              <m:r>
                <m:rPr>
                  <m:sty m:val="p"/>
                </m:rPr>
                <m:t>=</m:t>
              </m:r>
              <m:r>
                <m:t>1</m:t>
              </m:r>
            </m:sub>
            <m:sup>
              <m:r>
                <m:t>n</m:t>
              </m:r>
            </m:sup>
            <m:e>
              <m:sSub>
                <m:e>
                  <m:r>
                    <m:t>x</m:t>
                  </m:r>
                </m:e>
                <m:sub>
                  <m:r>
                    <m:t>i</m:t>
                  </m:r>
                </m:sub>
              </m:sSub>
            </m:e>
          </m:nary>
          <m:r>
            <m:t>e</m:t>
          </m:r>
          <m:r>
            <m:t>x</m:t>
          </m:r>
          <m:r>
            <m:t>p</m:t>
          </m:r>
          <m:d>
            <m:dPr>
              <m:begChr m:val="("/>
              <m:endChr m:val=")"/>
              <m:sepChr m:val=""/>
              <m:grow/>
            </m:dPr>
            <m:e>
              <m:sSubSup>
                <m:e>
                  <m:r>
                    <m:t>x</m:t>
                  </m:r>
                </m:e>
                <m:sub>
                  <m:r>
                    <m:t>i</m:t>
                  </m:r>
                </m:sub>
                <m:sup>
                  <m:r>
                    <m:t>T</m:t>
                  </m:r>
                </m:sup>
              </m:sSubSup>
              <m:acc>
                <m:accPr>
                  <m:chr m:val="̂"/>
                </m:accPr>
                <m:e>
                  <m:r>
                    <m:t>β</m:t>
                  </m:r>
                </m:e>
              </m:acc>
            </m:e>
          </m:d>
        </m:oMath>
      </m:oMathPara>
    </w:p>
    <w:p>
      <w:pPr>
        <w:pStyle w:val="FirstParagraph"/>
      </w:pPr>
      <w:r>
        <w:t xml:space="preserve">Note that this is the first derivative of</w:t>
      </w:r>
    </w:p>
    <w:p>
      <w:pPr>
        <w:pStyle w:val="BodyText"/>
      </w:pPr>
      <m:oMathPara>
        <m:oMathParaPr>
          <m:jc m:val="center"/>
        </m:oMathParaPr>
        <m:oMath>
          <m:r>
            <m:t>Q</m:t>
          </m:r>
          <m:d>
            <m:dPr>
              <m:begChr m:val="("/>
              <m:endChr m:val=")"/>
              <m:sepChr m:val=""/>
              <m:grow/>
            </m:dPr>
            <m:e>
              <m:r>
                <m:t>β</m:t>
              </m:r>
            </m:e>
          </m:d>
          <m:r>
            <m:rPr>
              <m:sty m:val="p"/>
            </m:rPr>
            <m:t>=</m:t>
          </m:r>
          <m:nary>
            <m:naryPr>
              <m:chr m:val="∑"/>
              <m:limLoc m:val="undOvr"/>
              <m:subHide m:val="0"/>
              <m:supHide m:val="0"/>
            </m:naryPr>
            <m:sub>
              <m:r>
                <m:t>i</m:t>
              </m:r>
              <m:r>
                <m:rPr>
                  <m:sty m:val="p"/>
                </m:rPr>
                <m:t>=</m:t>
              </m:r>
              <m:r>
                <m:t>1</m:t>
              </m:r>
            </m:sub>
            <m:sup>
              <m:r>
                <m:t>n</m:t>
              </m:r>
            </m:sup>
            <m:e>
              <m:r>
                <m:t>e</m:t>
              </m:r>
            </m:e>
          </m:nary>
          <m:r>
            <m:t>x</m:t>
          </m:r>
          <m:r>
            <m:t>p</m:t>
          </m:r>
          <m:d>
            <m:dPr>
              <m:begChr m:val="("/>
              <m:endChr m:val=")"/>
              <m:sepChr m:val=""/>
              <m:grow/>
            </m:dPr>
            <m:e>
              <m:sSubSup>
                <m:e>
                  <m:r>
                    <m:t>x</m:t>
                  </m:r>
                </m:e>
                <m:sub>
                  <m:r>
                    <m:t>i</m:t>
                  </m:r>
                </m:sub>
                <m:sup>
                  <m:r>
                    <m:t>T</m:t>
                  </m:r>
                </m:sup>
              </m:sSubSup>
              <m:acc>
                <m:accPr>
                  <m:chr m:val="̂"/>
                </m:accPr>
                <m:e>
                  <m:r>
                    <m:t>β</m:t>
                  </m:r>
                </m:e>
              </m:acc>
            </m:e>
          </m:d>
        </m:oMath>
      </m:oMathPara>
    </w:p>
    <w:p>
      <w:pPr>
        <w:pStyle w:val="FirstParagraph"/>
      </w:pPr>
      <w:r>
        <w:t xml:space="preserve">which has second derivative</w:t>
      </w:r>
    </w:p>
    <w:p>
      <w:pPr>
        <w:pStyle w:val="BodyText"/>
      </w:pPr>
      <m:oMathPara>
        <m:oMathParaPr>
          <m:jc m:val="center"/>
        </m:oMathParaPr>
        <m:oMath>
          <m:r>
            <m:t>Q</m:t>
          </m:r>
          <m:r>
            <m:rPr>
              <m:sty m:val="p"/>
            </m:rPr>
            <m:t>″</m:t>
          </m:r>
          <m:d>
            <m:dPr>
              <m:begChr m:val="("/>
              <m:endChr m:val=")"/>
              <m:sepChr m:val=""/>
              <m:grow/>
            </m:dPr>
            <m:e>
              <m:r>
                <m:t>β</m:t>
              </m:r>
            </m:e>
          </m:d>
          <m:r>
            <m:rPr>
              <m:sty m:val="p"/>
            </m:rPr>
            <m:t>=</m:t>
          </m:r>
          <m:nary>
            <m:naryPr>
              <m:chr m:val="∑"/>
              <m:limLoc m:val="undOvr"/>
              <m:subHide m:val="0"/>
              <m:supHide m:val="0"/>
            </m:naryPr>
            <m:sub>
              <m:r>
                <m:t>i</m:t>
              </m:r>
              <m:r>
                <m:rPr>
                  <m:sty m:val="p"/>
                </m:rPr>
                <m:t>=</m:t>
              </m:r>
              <m:r>
                <m:t>1</m:t>
              </m:r>
            </m:sub>
            <m:sup>
              <m:r>
                <m:t>n</m:t>
              </m:r>
            </m:sup>
            <m:e>
              <m:sSub>
                <m:e>
                  <m:r>
                    <m:t>x</m:t>
                  </m:r>
                </m:e>
                <m:sub>
                  <m:r>
                    <m:t>i</m:t>
                  </m:r>
                </m:sub>
              </m:sSub>
            </m:e>
          </m:nary>
          <m:sSubSup>
            <m:e>
              <m:r>
                <m:t>x</m:t>
              </m:r>
            </m:e>
            <m:sub>
              <m:r>
                <m:t>i</m:t>
              </m:r>
            </m:sub>
            <m:sup>
              <m:r>
                <m:t>T</m:t>
              </m:r>
            </m:sup>
          </m:sSubSup>
          <m:r>
            <m:t>e</m:t>
          </m:r>
          <m:r>
            <m:t>x</m:t>
          </m:r>
          <m:r>
            <m:t>p</m:t>
          </m:r>
          <m:d>
            <m:dPr>
              <m:begChr m:val="("/>
              <m:endChr m:val=")"/>
              <m:sepChr m:val=""/>
              <m:grow/>
            </m:dPr>
            <m:e>
              <m:sSubSup>
                <m:e>
                  <m:r>
                    <m:t>x</m:t>
                  </m:r>
                </m:e>
                <m:sub>
                  <m:r>
                    <m:t>i</m:t>
                  </m:r>
                </m:sub>
                <m:sup>
                  <m:r>
                    <m:t>T</m:t>
                  </m:r>
                </m:sup>
              </m:sSubSup>
              <m:acc>
                <m:accPr>
                  <m:chr m:val="̂"/>
                </m:accPr>
                <m:e>
                  <m:r>
                    <m:t>β</m:t>
                  </m:r>
                </m:e>
              </m:acc>
            </m:e>
          </m:d>
        </m:oMath>
      </m:oMathPara>
    </w:p>
    <w:p>
      <w:pPr>
        <w:pStyle w:val="FirstParagraph"/>
      </w:pPr>
      <w:r>
        <w:t xml:space="preserve">Since</w:t>
      </w:r>
      <w:r>
        <w:t xml:space="preserve"> </w:t>
      </w:r>
      <m:oMath>
        <m:r>
          <m:t>Q</m:t>
        </m:r>
        <m:r>
          <m:rPr>
            <m:sty m:val="p"/>
          </m:rPr>
          <m:t>″</m:t>
        </m:r>
        <m:d>
          <m:dPr>
            <m:begChr m:val="("/>
            <m:endChr m:val=")"/>
            <m:sepChr m:val=""/>
            <m:grow/>
          </m:dPr>
          <m:e>
            <m:r>
              <m:t>β</m:t>
            </m:r>
          </m:e>
        </m:d>
      </m:oMath>
      <w:r>
        <w:t xml:space="preserve"> </w:t>
      </w:r>
      <w:r>
        <w:t xml:space="preserve">is positive-definite for all</w:t>
      </w:r>
      <w:r>
        <w:t xml:space="preserve"> </w:t>
      </w:r>
      <m:oMath>
        <m:r>
          <m:t>β</m:t>
        </m:r>
      </m:oMath>
      <w:r>
        <w:t xml:space="preserve">,</w:t>
      </w:r>
      <w:r>
        <w:t xml:space="preserve"> </w:t>
      </w:r>
      <m:oMath>
        <m:r>
          <m:t>Q</m:t>
        </m:r>
        <m:d>
          <m:dPr>
            <m:begChr m:val="("/>
            <m:endChr m:val=")"/>
            <m:sepChr m:val=""/>
            <m:grow/>
          </m:dPr>
          <m:e>
            <m:r>
              <m:t>β</m:t>
            </m:r>
          </m:e>
        </m:d>
      </m:oMath>
      <w:r>
        <w:t xml:space="preserve"> </w:t>
      </w:r>
      <w:r>
        <w:t xml:space="preserve">is convex and any finite solution from</w:t>
      </w:r>
      <w:r>
        <w:t xml:space="preserve"> </w:t>
      </w:r>
      <w:r>
        <w:t xml:space="preserve">the equation is unique and corresponds to the global minimum of</w:t>
      </w:r>
      <w:r>
        <w:t xml:space="preserve"> </w:t>
      </w:r>
      <m:oMath>
        <m:r>
          <m:t>Q</m:t>
        </m:r>
        <m:d>
          <m:dPr>
            <m:begChr m:val="("/>
            <m:endChr m:val=")"/>
            <m:sepChr m:val=""/>
            <m:grow/>
          </m:dPr>
          <m:e>
            <m:r>
              <m:t>β</m:t>
            </m:r>
          </m:e>
        </m:d>
      </m:oMath>
      <w:r>
        <w:t xml:space="preserve">. Thus, we can use optimization</w:t>
      </w:r>
      <w:r>
        <w:t xml:space="preserve"> </w:t>
      </w:r>
      <w:r>
        <w:t xml:space="preserve">methods to calculate</w:t>
      </w:r>
      <w:r>
        <w:t xml:space="preserve"> </w:t>
      </w:r>
      <m:oMath>
        <m:r>
          <m:t>β</m:t>
        </m:r>
      </m:oMath>
      <w:r>
        <w:t xml:space="preserve">.</w:t>
      </w:r>
    </w:p>
    <w:bookmarkEnd w:id="21"/>
    <w:bookmarkStart w:id="26" w:name="example-scenario"/>
    <w:p>
      <w:pPr>
        <w:pStyle w:val="Heading1"/>
      </w:pPr>
      <w:r>
        <w:t xml:space="preserve">Example scenario</w:t>
      </w:r>
    </w:p>
    <w:p>
      <w:pPr>
        <w:pStyle w:val="FirstParagraph"/>
      </w:pPr>
      <w:r>
        <w:t xml:space="preserve">We present an unanchored MAIC of two treatments in lung cancer. This example is borrowed from the Roche MAIC R package.</w:t>
      </w:r>
      <w:r>
        <w:t xml:space="preserve"> </w:t>
      </w:r>
      <w:r>
        <w:t xml:space="preserve">[3]</w:t>
      </w:r>
      <w:r>
        <w:t xml:space="preserve"> </w:t>
      </w:r>
      <w:r>
        <w:t xml:space="preserve">The two endpoints being compared are overall survival (a time to event outcome) and objective response (a binary outcome). The data available are:</w:t>
      </w:r>
    </w:p>
    <w:p>
      <w:pPr>
        <w:numPr>
          <w:ilvl w:val="0"/>
          <w:numId w:val="1001"/>
        </w:numPr>
        <w:pStyle w:val="Compact"/>
      </w:pPr>
      <w:r>
        <w:t xml:space="preserve">Individual patient data from a single arm study</w:t>
      </w:r>
    </w:p>
    <w:p>
      <w:pPr>
        <w:numPr>
          <w:ilvl w:val="0"/>
          <w:numId w:val="1001"/>
        </w:numPr>
        <w:pStyle w:val="Compact"/>
      </w:pPr>
      <w:r>
        <w:t xml:space="preserve">Aggregate summary data for the comparator study</w:t>
      </w:r>
    </w:p>
    <w:p>
      <w:pPr>
        <w:numPr>
          <w:ilvl w:val="0"/>
          <w:numId w:val="1001"/>
        </w:numPr>
        <w:pStyle w:val="Compact"/>
      </w:pPr>
      <w:r>
        <w:t xml:space="preserve">Pseudo patient data from the comparator study. This is not required for the matching process but is needed to derive the relative treatment effects between the internal treatment and comparator treatment.</w:t>
      </w:r>
    </w:p>
    <w:bookmarkStart w:id="25" w:name="refs"/>
    <w:bookmarkStart w:id="22" w:name="ref-signorovitch2010"/>
    <w:p>
      <w:pPr>
        <w:pStyle w:val="Bibliography"/>
      </w:pPr>
      <w:r>
        <w:t xml:space="preserve">[1]</w:t>
      </w:r>
      <w:r>
        <w:t xml:space="preserve"> </w:t>
      </w:r>
      <w:r>
        <w:t xml:space="preserve">	</w:t>
      </w:r>
      <w:r>
        <w:t xml:space="preserve">Signorovitch JE, Sikirica V, Erder MH, Xie J, Lu M, Hodgkins PS, et al. Comparative effectiveness without head-to-head trials. Pharmacoeconomics 2010;28:935–45.</w:t>
      </w:r>
    </w:p>
    <w:bookmarkEnd w:id="22"/>
    <w:bookmarkStart w:id="23" w:name="ref-phillippo2016a"/>
    <w:p>
      <w:pPr>
        <w:pStyle w:val="Bibliography"/>
      </w:pPr>
      <w:r>
        <w:t xml:space="preserve">[2]</w:t>
      </w:r>
      <w:r>
        <w:t xml:space="preserve"> </w:t>
      </w:r>
      <w:r>
        <w:t xml:space="preserve">	</w:t>
      </w:r>
      <w:r>
        <w:t xml:space="preserve">Phillippo D, Ades T, Dias S, Palmer S, Abrams KR, Welton N. NICE DSU technical support document 18: Methods for population-adjusted indirect comparisons in submissions to NICE 2016.</w:t>
      </w:r>
    </w:p>
    <w:bookmarkEnd w:id="23"/>
    <w:bookmarkStart w:id="24" w:name="ref-rochemaic"/>
    <w:p>
      <w:pPr>
        <w:pStyle w:val="Bibliography"/>
      </w:pPr>
      <w:r>
        <w:t xml:space="preserve">[3]</w:t>
      </w:r>
      <w:r>
        <w:t xml:space="preserve"> </w:t>
      </w:r>
      <w:r>
        <w:t xml:space="preserve">	</w:t>
      </w:r>
      <w:r>
        <w:t xml:space="preserve">Gregory J, Smith S, Birnie R. MAIC: Package to perform matched-adjusted indirect comparisons. 2023.</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maicplus - unanchored case</dc:title>
  <dc:creator/>
  <cp:keywords/>
  <dcterms:created xsi:type="dcterms:W3CDTF">2024-03-13T13:42:52Z</dcterms:created>
  <dcterms:modified xsi:type="dcterms:W3CDTF">2024-03-13T13:42:52Z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biomedicine.csl</vt:lpwstr>
  </property>
  <property fmtid="{D5CDD505-2E9C-101B-9397-08002B2CF9AE}" pid="4" name="date">
    <vt:lpwstr>2024-03-13</vt:lpwstr>
  </property>
  <property fmtid="{D5CDD505-2E9C-101B-9397-08002B2CF9AE}" pid="5" name="output">
    <vt:lpwstr/>
  </property>
  <property fmtid="{D5CDD505-2E9C-101B-9397-08002B2CF9AE}" pid="6" name="vignette">
    <vt:lpwstr>% % %</vt:lpwstr>
  </property>
</Properties>
</file>