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Clinical Costing Reconciliation Report — FY2025 (SY02) resubmission</w:t>
      </w:r>
    </w:p>
    <w:p>
      <w:r>
        <w:t>Vision Dental Clinic L.L.C — DOH licence MF4159</w:t>
      </w:r>
    </w:p>
    <w:p>
      <w:r>
        <w:t>Financial year 2025 (1 January – 31 December 2025), DOH Submission Year 2 (SY02), resubmission</w:t>
      </w:r>
    </w:p>
    <w:p>
      <w:r>
        <w:t>Prepared 27 October 2026 for CFO sign-off (Abu Dhabi Clinical Costing Standard v2.1, clause 3.6.2.1.5).</w:t>
      </w:r>
    </w:p>
    <w:p>
      <w:pPr>
        <w:pStyle w:val="Heading2"/>
      </w:pPr>
      <w:r>
        <w:t>1. Purpose</w:t>
      </w:r>
    </w:p>
    <w:p>
      <w:r>
        <w:t>This report reconciles the cost, encounter and product volumes in the twelve Cost.Submission XML files for FY2025 to the clinic's expense ledger and activity data, lists inclusions, exclusions and work in progress, documents the overhead allocation statistics, and confirms the data quality checks, as the Standard requires for every cost data submission.</w:t>
      </w:r>
    </w:p>
    <w:p>
      <w:pPr>
        <w:pStyle w:val="Heading2"/>
      </w:pPr>
      <w:r>
        <w:t>2. Why a resubmission</w:t>
      </w:r>
    </w:p>
    <w:p>
      <w:r>
        <w:t>The first SY02 submission (September 2026) was rejected by DOH on 9 October 2026 on the rule 'Cost Bucket / Cost Type Match' with a warning 'Overhead Cost Ratio below 20 %'. Root cause: the allocation table split each claim's cost once across seven cost buckets and ten cost types, so the bucket view held 35.5 % of the ledger and the cost-type view 64.5 %; DOH requires two complete views that each equal the claim's cost. Every claim now carries both views in full; the claim set, the identity fields and the monthly totals are unchanged.</w:t>
      </w:r>
    </w:p>
    <w:p>
      <w:pPr>
        <w:pStyle w:val="Heading2"/>
      </w:pPr>
      <w:r>
        <w:t>3. Result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Month</w:t>
            </w:r>
          </w:p>
        </w:tc>
        <w:tc>
          <w:tcPr>
            <w:tcW w:type="dxa" w:w="1440"/>
          </w:tcPr>
          <w:p>
            <w:r>
              <w:t>Ledger</w:t>
            </w:r>
          </w:p>
        </w:tc>
        <w:tc>
          <w:tcPr>
            <w:tcW w:type="dxa" w:w="1440"/>
          </w:tcPr>
          <w:p>
            <w:r>
              <w:t>Cost-type view</w:t>
            </w:r>
          </w:p>
        </w:tc>
        <w:tc>
          <w:tcPr>
            <w:tcW w:type="dxa" w:w="1440"/>
          </w:tcPr>
          <w:p>
            <w:r>
              <w:t>Bucket view</w:t>
            </w:r>
          </w:p>
        </w:tc>
        <w:tc>
          <w:tcPr>
            <w:tcW w:type="dxa" w:w="1440"/>
          </w:tcPr>
          <w:p>
            <w:r>
              <w:t>Claims</w:t>
            </w:r>
          </w:p>
        </w:tc>
        <w:tc>
          <w:tcPr>
            <w:tcW w:type="dxa" w:w="1440"/>
          </w:tcPr>
          <w:p>
            <w:r>
              <w:t>Overhead ratio</w:t>
            </w:r>
          </w:p>
        </w:tc>
      </w:tr>
      <w:tr>
        <w:tc>
          <w:tcPr>
            <w:tcW w:type="dxa" w:w="1440"/>
          </w:tcPr>
          <w:p>
            <w:r>
              <w:t>Jan</w:t>
            </w:r>
          </w:p>
        </w:tc>
        <w:tc>
          <w:tcPr>
            <w:tcW w:type="dxa" w:w="1440"/>
          </w:tcPr>
          <w:p>
            <w:r>
              <w:t>511,302.30</w:t>
            </w:r>
          </w:p>
        </w:tc>
        <w:tc>
          <w:tcPr>
            <w:tcW w:type="dxa" w:w="1440"/>
          </w:tcPr>
          <w:p>
            <w:r>
              <w:t>511,302.30</w:t>
            </w:r>
          </w:p>
        </w:tc>
        <w:tc>
          <w:tcPr>
            <w:tcW w:type="dxa" w:w="1440"/>
          </w:tcPr>
          <w:p>
            <w:r>
              <w:t>511,302.30</w:t>
            </w:r>
          </w:p>
        </w:tc>
        <w:tc>
          <w:tcPr>
            <w:tcW w:type="dxa" w:w="1440"/>
          </w:tcPr>
          <w:p>
            <w:r>
              <w:t>831</w:t>
            </w:r>
          </w:p>
        </w:tc>
        <w:tc>
          <w:tcPr>
            <w:tcW w:type="dxa" w:w="1440"/>
          </w:tcPr>
          <w:p>
            <w:r>
              <w:t>26.7%</w:t>
            </w:r>
          </w:p>
        </w:tc>
      </w:tr>
      <w:tr>
        <w:tc>
          <w:tcPr>
            <w:tcW w:type="dxa" w:w="1440"/>
          </w:tcPr>
          <w:p>
            <w:r>
              <w:t>Feb</w:t>
            </w:r>
          </w:p>
        </w:tc>
        <w:tc>
          <w:tcPr>
            <w:tcW w:type="dxa" w:w="1440"/>
          </w:tcPr>
          <w:p>
            <w:r>
              <w:t>532,341.65</w:t>
            </w:r>
          </w:p>
        </w:tc>
        <w:tc>
          <w:tcPr>
            <w:tcW w:type="dxa" w:w="1440"/>
          </w:tcPr>
          <w:p>
            <w:r>
              <w:t>532,341.65</w:t>
            </w:r>
          </w:p>
        </w:tc>
        <w:tc>
          <w:tcPr>
            <w:tcW w:type="dxa" w:w="1440"/>
          </w:tcPr>
          <w:p>
            <w:r>
              <w:t>532,341.65</w:t>
            </w:r>
          </w:p>
        </w:tc>
        <w:tc>
          <w:tcPr>
            <w:tcW w:type="dxa" w:w="1440"/>
          </w:tcPr>
          <w:p>
            <w:r>
              <w:t>837</w:t>
            </w:r>
          </w:p>
        </w:tc>
        <w:tc>
          <w:tcPr>
            <w:tcW w:type="dxa" w:w="1440"/>
          </w:tcPr>
          <w:p>
            <w:r>
              <w:t>27.2%</w:t>
            </w:r>
          </w:p>
        </w:tc>
      </w:tr>
      <w:tr>
        <w:tc>
          <w:tcPr>
            <w:tcW w:type="dxa" w:w="1440"/>
          </w:tcPr>
          <w:p>
            <w:r>
              <w:t>Mar</w:t>
            </w:r>
          </w:p>
        </w:tc>
        <w:tc>
          <w:tcPr>
            <w:tcW w:type="dxa" w:w="1440"/>
          </w:tcPr>
          <w:p>
            <w:r>
              <w:t>606,868.87</w:t>
            </w:r>
          </w:p>
        </w:tc>
        <w:tc>
          <w:tcPr>
            <w:tcW w:type="dxa" w:w="1440"/>
          </w:tcPr>
          <w:p>
            <w:r>
              <w:t>606,868.87</w:t>
            </w:r>
          </w:p>
        </w:tc>
        <w:tc>
          <w:tcPr>
            <w:tcW w:type="dxa" w:w="1440"/>
          </w:tcPr>
          <w:p>
            <w:r>
              <w:t>606,868.87</w:t>
            </w:r>
          </w:p>
        </w:tc>
        <w:tc>
          <w:tcPr>
            <w:tcW w:type="dxa" w:w="1440"/>
          </w:tcPr>
          <w:p>
            <w:r>
              <w:t>801</w:t>
            </w:r>
          </w:p>
        </w:tc>
        <w:tc>
          <w:tcPr>
            <w:tcW w:type="dxa" w:w="1440"/>
          </w:tcPr>
          <w:p>
            <w:r>
              <w:t>30.6%</w:t>
            </w:r>
          </w:p>
        </w:tc>
      </w:tr>
      <w:tr>
        <w:tc>
          <w:tcPr>
            <w:tcW w:type="dxa" w:w="1440"/>
          </w:tcPr>
          <w:p>
            <w:r>
              <w:t>Apr</w:t>
            </w:r>
          </w:p>
        </w:tc>
        <w:tc>
          <w:tcPr>
            <w:tcW w:type="dxa" w:w="1440"/>
          </w:tcPr>
          <w:p>
            <w:r>
              <w:t>518,123.67</w:t>
            </w:r>
          </w:p>
        </w:tc>
        <w:tc>
          <w:tcPr>
            <w:tcW w:type="dxa" w:w="1440"/>
          </w:tcPr>
          <w:p>
            <w:r>
              <w:t>518,123.67</w:t>
            </w:r>
          </w:p>
        </w:tc>
        <w:tc>
          <w:tcPr>
            <w:tcW w:type="dxa" w:w="1440"/>
          </w:tcPr>
          <w:p>
            <w:r>
              <w:t>518,123.67</w:t>
            </w:r>
          </w:p>
        </w:tc>
        <w:tc>
          <w:tcPr>
            <w:tcW w:type="dxa" w:w="1440"/>
          </w:tcPr>
          <w:p>
            <w:r>
              <w:t>743</w:t>
            </w:r>
          </w:p>
        </w:tc>
        <w:tc>
          <w:tcPr>
            <w:tcW w:type="dxa" w:w="1440"/>
          </w:tcPr>
          <w:p>
            <w:r>
              <w:t>37.3%</w:t>
            </w:r>
          </w:p>
        </w:tc>
      </w:tr>
      <w:tr>
        <w:tc>
          <w:tcPr>
            <w:tcW w:type="dxa" w:w="1440"/>
          </w:tcPr>
          <w:p>
            <w:r>
              <w:t>May</w:t>
            </w:r>
          </w:p>
        </w:tc>
        <w:tc>
          <w:tcPr>
            <w:tcW w:type="dxa" w:w="1440"/>
          </w:tcPr>
          <w:p>
            <w:r>
              <w:t>488,066.69</w:t>
            </w:r>
          </w:p>
        </w:tc>
        <w:tc>
          <w:tcPr>
            <w:tcW w:type="dxa" w:w="1440"/>
          </w:tcPr>
          <w:p>
            <w:r>
              <w:t>488,066.69</w:t>
            </w:r>
          </w:p>
        </w:tc>
        <w:tc>
          <w:tcPr>
            <w:tcW w:type="dxa" w:w="1440"/>
          </w:tcPr>
          <w:p>
            <w:r>
              <w:t>488,066.69</w:t>
            </w:r>
          </w:p>
        </w:tc>
        <w:tc>
          <w:tcPr>
            <w:tcW w:type="dxa" w:w="1440"/>
          </w:tcPr>
          <w:p>
            <w:r>
              <w:t>1,004</w:t>
            </w:r>
          </w:p>
        </w:tc>
        <w:tc>
          <w:tcPr>
            <w:tcW w:type="dxa" w:w="1440"/>
          </w:tcPr>
          <w:p>
            <w:r>
              <w:t>28.7%</w:t>
            </w:r>
          </w:p>
        </w:tc>
      </w:tr>
      <w:tr>
        <w:tc>
          <w:tcPr>
            <w:tcW w:type="dxa" w:w="1440"/>
          </w:tcPr>
          <w:p>
            <w:r>
              <w:t>Jun</w:t>
            </w:r>
          </w:p>
        </w:tc>
        <w:tc>
          <w:tcPr>
            <w:tcW w:type="dxa" w:w="1440"/>
          </w:tcPr>
          <w:p>
            <w:r>
              <w:t>616,494.09</w:t>
            </w:r>
          </w:p>
        </w:tc>
        <w:tc>
          <w:tcPr>
            <w:tcW w:type="dxa" w:w="1440"/>
          </w:tcPr>
          <w:p>
            <w:r>
              <w:t>616,494.09</w:t>
            </w:r>
          </w:p>
        </w:tc>
        <w:tc>
          <w:tcPr>
            <w:tcW w:type="dxa" w:w="1440"/>
          </w:tcPr>
          <w:p>
            <w:r>
              <w:t>616,494.09</w:t>
            </w:r>
          </w:p>
        </w:tc>
        <w:tc>
          <w:tcPr>
            <w:tcW w:type="dxa" w:w="1440"/>
          </w:tcPr>
          <w:p>
            <w:r>
              <w:t>759</w:t>
            </w:r>
          </w:p>
        </w:tc>
        <w:tc>
          <w:tcPr>
            <w:tcW w:type="dxa" w:w="1440"/>
          </w:tcPr>
          <w:p>
            <w:r>
              <w:t>36.1%</w:t>
            </w:r>
          </w:p>
        </w:tc>
      </w:tr>
      <w:tr>
        <w:tc>
          <w:tcPr>
            <w:tcW w:type="dxa" w:w="1440"/>
          </w:tcPr>
          <w:p>
            <w:r>
              <w:t>Jul</w:t>
            </w:r>
          </w:p>
        </w:tc>
        <w:tc>
          <w:tcPr>
            <w:tcW w:type="dxa" w:w="1440"/>
          </w:tcPr>
          <w:p>
            <w:r>
              <w:t>480,166.82</w:t>
            </w:r>
          </w:p>
        </w:tc>
        <w:tc>
          <w:tcPr>
            <w:tcW w:type="dxa" w:w="1440"/>
          </w:tcPr>
          <w:p>
            <w:r>
              <w:t>480,166.82</w:t>
            </w:r>
          </w:p>
        </w:tc>
        <w:tc>
          <w:tcPr>
            <w:tcW w:type="dxa" w:w="1440"/>
          </w:tcPr>
          <w:p>
            <w:r>
              <w:t>480,166.82</w:t>
            </w:r>
          </w:p>
        </w:tc>
        <w:tc>
          <w:tcPr>
            <w:tcW w:type="dxa" w:w="1440"/>
          </w:tcPr>
          <w:p>
            <w:r>
              <w:t>810</w:t>
            </w:r>
          </w:p>
        </w:tc>
        <w:tc>
          <w:tcPr>
            <w:tcW w:type="dxa" w:w="1440"/>
          </w:tcPr>
          <w:p>
            <w:r>
              <w:t>35.0%</w:t>
            </w:r>
          </w:p>
        </w:tc>
      </w:tr>
      <w:tr>
        <w:tc>
          <w:tcPr>
            <w:tcW w:type="dxa" w:w="1440"/>
          </w:tcPr>
          <w:p>
            <w:r>
              <w:t>Aug</w:t>
            </w:r>
          </w:p>
        </w:tc>
        <w:tc>
          <w:tcPr>
            <w:tcW w:type="dxa" w:w="1440"/>
          </w:tcPr>
          <w:p>
            <w:r>
              <w:t>526,990.10</w:t>
            </w:r>
          </w:p>
        </w:tc>
        <w:tc>
          <w:tcPr>
            <w:tcW w:type="dxa" w:w="1440"/>
          </w:tcPr>
          <w:p>
            <w:r>
              <w:t>526,990.10</w:t>
            </w:r>
          </w:p>
        </w:tc>
        <w:tc>
          <w:tcPr>
            <w:tcW w:type="dxa" w:w="1440"/>
          </w:tcPr>
          <w:p>
            <w:r>
              <w:t>526,990.10</w:t>
            </w:r>
          </w:p>
        </w:tc>
        <w:tc>
          <w:tcPr>
            <w:tcW w:type="dxa" w:w="1440"/>
          </w:tcPr>
          <w:p>
            <w:r>
              <w:t>830</w:t>
            </w:r>
          </w:p>
        </w:tc>
        <w:tc>
          <w:tcPr>
            <w:tcW w:type="dxa" w:w="1440"/>
          </w:tcPr>
          <w:p>
            <w:r>
              <w:t>35.5%</w:t>
            </w:r>
          </w:p>
        </w:tc>
      </w:tr>
      <w:tr>
        <w:tc>
          <w:tcPr>
            <w:tcW w:type="dxa" w:w="1440"/>
          </w:tcPr>
          <w:p>
            <w:r>
              <w:t>Sep</w:t>
            </w:r>
          </w:p>
        </w:tc>
        <w:tc>
          <w:tcPr>
            <w:tcW w:type="dxa" w:w="1440"/>
          </w:tcPr>
          <w:p>
            <w:r>
              <w:t>509,542.05</w:t>
            </w:r>
          </w:p>
        </w:tc>
        <w:tc>
          <w:tcPr>
            <w:tcW w:type="dxa" w:w="1440"/>
          </w:tcPr>
          <w:p>
            <w:r>
              <w:t>509,542.05</w:t>
            </w:r>
          </w:p>
        </w:tc>
        <w:tc>
          <w:tcPr>
            <w:tcW w:type="dxa" w:w="1440"/>
          </w:tcPr>
          <w:p>
            <w:r>
              <w:t>509,542.05</w:t>
            </w:r>
          </w:p>
        </w:tc>
        <w:tc>
          <w:tcPr>
            <w:tcW w:type="dxa" w:w="1440"/>
          </w:tcPr>
          <w:p>
            <w:r>
              <w:t>762</w:t>
            </w:r>
          </w:p>
        </w:tc>
        <w:tc>
          <w:tcPr>
            <w:tcW w:type="dxa" w:w="1440"/>
          </w:tcPr>
          <w:p>
            <w:r>
              <w:t>37.0%</w:t>
            </w:r>
          </w:p>
        </w:tc>
      </w:tr>
      <w:tr>
        <w:tc>
          <w:tcPr>
            <w:tcW w:type="dxa" w:w="1440"/>
          </w:tcPr>
          <w:p>
            <w:r>
              <w:t>Oct</w:t>
            </w:r>
          </w:p>
        </w:tc>
        <w:tc>
          <w:tcPr>
            <w:tcW w:type="dxa" w:w="1440"/>
          </w:tcPr>
          <w:p>
            <w:r>
              <w:t>546,725.98</w:t>
            </w:r>
          </w:p>
        </w:tc>
        <w:tc>
          <w:tcPr>
            <w:tcW w:type="dxa" w:w="1440"/>
          </w:tcPr>
          <w:p>
            <w:r>
              <w:t>546,725.98</w:t>
            </w:r>
          </w:p>
        </w:tc>
        <w:tc>
          <w:tcPr>
            <w:tcW w:type="dxa" w:w="1440"/>
          </w:tcPr>
          <w:p>
            <w:r>
              <w:t>546,725.98</w:t>
            </w:r>
          </w:p>
        </w:tc>
        <w:tc>
          <w:tcPr>
            <w:tcW w:type="dxa" w:w="1440"/>
          </w:tcPr>
          <w:p>
            <w:r>
              <w:t>780</w:t>
            </w:r>
          </w:p>
        </w:tc>
        <w:tc>
          <w:tcPr>
            <w:tcW w:type="dxa" w:w="1440"/>
          </w:tcPr>
          <w:p>
            <w:r>
              <w:t>32.8%</w:t>
            </w:r>
          </w:p>
        </w:tc>
      </w:tr>
      <w:tr>
        <w:tc>
          <w:tcPr>
            <w:tcW w:type="dxa" w:w="1440"/>
          </w:tcPr>
          <w:p>
            <w:r>
              <w:t>Nov</w:t>
            </w:r>
          </w:p>
        </w:tc>
        <w:tc>
          <w:tcPr>
            <w:tcW w:type="dxa" w:w="1440"/>
          </w:tcPr>
          <w:p>
            <w:r>
              <w:t>493,746.03</w:t>
            </w:r>
          </w:p>
        </w:tc>
        <w:tc>
          <w:tcPr>
            <w:tcW w:type="dxa" w:w="1440"/>
          </w:tcPr>
          <w:p>
            <w:r>
              <w:t>493,746.03</w:t>
            </w:r>
          </w:p>
        </w:tc>
        <w:tc>
          <w:tcPr>
            <w:tcW w:type="dxa" w:w="1440"/>
          </w:tcPr>
          <w:p>
            <w:r>
              <w:t>493,746.03</w:t>
            </w:r>
          </w:p>
        </w:tc>
        <w:tc>
          <w:tcPr>
            <w:tcW w:type="dxa" w:w="1440"/>
          </w:tcPr>
          <w:p>
            <w:r>
              <w:t>819</w:t>
            </w:r>
          </w:p>
        </w:tc>
        <w:tc>
          <w:tcPr>
            <w:tcW w:type="dxa" w:w="1440"/>
          </w:tcPr>
          <w:p>
            <w:r>
              <w:t>37.5%</w:t>
            </w:r>
          </w:p>
        </w:tc>
      </w:tr>
      <w:tr>
        <w:tc>
          <w:tcPr>
            <w:tcW w:type="dxa" w:w="1440"/>
          </w:tcPr>
          <w:p>
            <w:r>
              <w:t>Dec</w:t>
            </w:r>
          </w:p>
        </w:tc>
        <w:tc>
          <w:tcPr>
            <w:tcW w:type="dxa" w:w="1440"/>
          </w:tcPr>
          <w:p>
            <w:r>
              <w:t>623,033.73</w:t>
            </w:r>
          </w:p>
        </w:tc>
        <w:tc>
          <w:tcPr>
            <w:tcW w:type="dxa" w:w="1440"/>
          </w:tcPr>
          <w:p>
            <w:r>
              <w:t>623,033.73</w:t>
            </w:r>
          </w:p>
        </w:tc>
        <w:tc>
          <w:tcPr>
            <w:tcW w:type="dxa" w:w="1440"/>
          </w:tcPr>
          <w:p>
            <w:r>
              <w:t>623,033.73</w:t>
            </w:r>
          </w:p>
        </w:tc>
        <w:tc>
          <w:tcPr>
            <w:tcW w:type="dxa" w:w="1440"/>
          </w:tcPr>
          <w:p>
            <w:r>
              <w:t>762</w:t>
            </w:r>
          </w:p>
        </w:tc>
        <w:tc>
          <w:tcPr>
            <w:tcW w:type="dxa" w:w="1440"/>
          </w:tcPr>
          <w:p>
            <w:r>
              <w:t>31.1%</w:t>
            </w:r>
          </w:p>
        </w:tc>
      </w:tr>
      <w:tr>
        <w:tc>
          <w:tcPr>
            <w:tcW w:type="dxa" w:w="1440"/>
          </w:tcPr>
          <w:p>
            <w:r>
              <w:t>FY2025</w:t>
            </w:r>
          </w:p>
        </w:tc>
        <w:tc>
          <w:tcPr>
            <w:tcW w:type="dxa" w:w="1440"/>
          </w:tcPr>
          <w:p>
            <w:r>
              <w:t>6,453,401.98</w:t>
            </w:r>
          </w:p>
        </w:tc>
        <w:tc>
          <w:tcPr>
            <w:tcW w:type="dxa" w:w="1440"/>
          </w:tcPr>
          <w:p>
            <w:r>
              <w:t>6,453,401.98</w:t>
            </w:r>
          </w:p>
        </w:tc>
        <w:tc>
          <w:tcPr>
            <w:tcW w:type="dxa" w:w="1440"/>
          </w:tcPr>
          <w:p>
            <w:r>
              <w:t>6,453,401.98</w:t>
            </w:r>
          </w:p>
        </w:tc>
        <w:tc>
          <w:tcPr>
            <w:tcW w:type="dxa" w:w="1440"/>
          </w:tcPr>
          <w:p>
            <w:r>
              <w:t>9,738</w:t>
            </w:r>
          </w:p>
        </w:tc>
        <w:tc>
          <w:tcPr>
            <w:tcW w:type="dxa" w:w="1440"/>
          </w:tcPr>
          <w:p>
            <w:r>
              <w:t>32.9%</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t>Cost type</w:t>
            </w:r>
          </w:p>
        </w:tc>
        <w:tc>
          <w:tcPr>
            <w:tcW w:type="dxa" w:w="2880"/>
          </w:tcPr>
          <w:p>
            <w:r>
              <w:t>FY2025 AED</w:t>
            </w:r>
          </w:p>
        </w:tc>
        <w:tc>
          <w:tcPr>
            <w:tcW w:type="dxa" w:w="2880"/>
          </w:tcPr>
          <w:p>
            <w:r>
              <w:t>Cost bucket / FY2025 AED</w:t>
            </w:r>
          </w:p>
        </w:tc>
      </w:tr>
      <w:tr>
        <w:tc>
          <w:tcPr>
            <w:tcW w:type="dxa" w:w="2880"/>
          </w:tcPr>
          <w:p>
            <w:r>
              <w:t>SWNurs</w:t>
            </w:r>
          </w:p>
        </w:tc>
        <w:tc>
          <w:tcPr>
            <w:tcW w:type="dxa" w:w="2880"/>
          </w:tcPr>
          <w:p>
            <w:r>
              <w:t>481,741.11</w:t>
            </w:r>
          </w:p>
        </w:tc>
        <w:tc>
          <w:tcPr>
            <w:tcW w:type="dxa" w:w="2880"/>
          </w:tcPr>
          <w:p>
            <w:r>
              <w:t>Anaesthesia: 126,788.91</w:t>
            </w:r>
          </w:p>
        </w:tc>
      </w:tr>
      <w:tr>
        <w:tc>
          <w:tcPr>
            <w:tcW w:type="dxa" w:w="2880"/>
          </w:tcPr>
          <w:p>
            <w:r>
              <w:t>SWDoc</w:t>
            </w:r>
          </w:p>
        </w:tc>
        <w:tc>
          <w:tcPr>
            <w:tcW w:type="dxa" w:w="2880"/>
          </w:tcPr>
          <w:p>
            <w:r>
              <w:t>2,392,100.26</w:t>
            </w:r>
          </w:p>
        </w:tc>
        <w:tc>
          <w:tcPr>
            <w:tcW w:type="dxa" w:w="2880"/>
          </w:tcPr>
          <w:p>
            <w:r>
              <w:t>Dental: 4,823,112.94</w:t>
            </w:r>
          </w:p>
        </w:tc>
      </w:tr>
      <w:tr>
        <w:tc>
          <w:tcPr>
            <w:tcW w:type="dxa" w:w="2880"/>
          </w:tcPr>
          <w:p>
            <w:r>
              <w:t>SWAllied</w:t>
            </w:r>
          </w:p>
        </w:tc>
        <w:tc>
          <w:tcPr>
            <w:tcW w:type="dxa" w:w="2880"/>
          </w:tcPr>
          <w:p>
            <w:r>
              <w:t>232,537.90</w:t>
            </w:r>
          </w:p>
        </w:tc>
        <w:tc>
          <w:tcPr>
            <w:tcW w:type="dxa" w:w="2880"/>
          </w:tcPr>
          <w:p>
            <w:r>
              <w:t>Imaging: 213,712.68</w:t>
            </w:r>
          </w:p>
        </w:tc>
      </w:tr>
      <w:tr>
        <w:tc>
          <w:tcPr>
            <w:tcW w:type="dxa" w:w="2880"/>
          </w:tcPr>
          <w:p>
            <w:r>
              <w:t>Pharmacy</w:t>
            </w:r>
          </w:p>
        </w:tc>
        <w:tc>
          <w:tcPr>
            <w:tcW w:type="dxa" w:w="2880"/>
          </w:tcPr>
          <w:p>
            <w:r>
              <w:t>14,881.99</w:t>
            </w:r>
          </w:p>
        </w:tc>
        <w:tc>
          <w:tcPr>
            <w:tcW w:type="dxa" w:w="2880"/>
          </w:tcPr>
          <w:p>
            <w:r>
              <w:t>Prosthesis: 1,289,787.46</w:t>
            </w:r>
          </w:p>
        </w:tc>
      </w:tr>
      <w:tr>
        <w:tc>
          <w:tcPr>
            <w:tcW w:type="dxa" w:w="2880"/>
          </w:tcPr>
          <w:p>
            <w:r>
              <w:t>Prostheses</w:t>
            </w:r>
          </w:p>
        </w:tc>
        <w:tc>
          <w:tcPr>
            <w:tcW w:type="dxa" w:w="2880"/>
          </w:tcPr>
          <w:p>
            <w:r>
              <w:t>751,070.24</w:t>
            </w:r>
          </w:p>
        </w:tc>
        <w:tc>
          <w:tcPr>
            <w:tcW w:type="dxa" w:w="2880"/>
          </w:tcPr>
          <w:p>
            <w:r/>
          </w:p>
        </w:tc>
      </w:tr>
      <w:tr>
        <w:tc>
          <w:tcPr>
            <w:tcW w:type="dxa" w:w="2880"/>
          </w:tcPr>
          <w:p>
            <w:r>
              <w:t>MS</w:t>
            </w:r>
          </w:p>
        </w:tc>
        <w:tc>
          <w:tcPr>
            <w:tcW w:type="dxa" w:w="2880"/>
          </w:tcPr>
          <w:p>
            <w:r>
              <w:t>324,096.00</w:t>
            </w:r>
          </w:p>
        </w:tc>
        <w:tc>
          <w:tcPr>
            <w:tcW w:type="dxa" w:w="2880"/>
          </w:tcPr>
          <w:p>
            <w:r/>
          </w:p>
        </w:tc>
      </w:tr>
      <w:tr>
        <w:tc>
          <w:tcPr>
            <w:tcW w:type="dxa" w:w="2880"/>
          </w:tcPr>
          <w:p>
            <w:r>
              <w:t>GS</w:t>
            </w:r>
          </w:p>
        </w:tc>
        <w:tc>
          <w:tcPr>
            <w:tcW w:type="dxa" w:w="2880"/>
          </w:tcPr>
          <w:p>
            <w:r>
              <w:t>5,638.57</w:t>
            </w:r>
          </w:p>
        </w:tc>
        <w:tc>
          <w:tcPr>
            <w:tcW w:type="dxa" w:w="2880"/>
          </w:tcPr>
          <w:p>
            <w:r/>
          </w:p>
        </w:tc>
      </w:tr>
      <w:tr>
        <w:tc>
          <w:tcPr>
            <w:tcW w:type="dxa" w:w="2880"/>
          </w:tcPr>
          <w:p>
            <w:r>
              <w:t>Depreciation</w:t>
            </w:r>
          </w:p>
        </w:tc>
        <w:tc>
          <w:tcPr>
            <w:tcW w:type="dxa" w:w="2880"/>
          </w:tcPr>
          <w:p>
            <w:r>
              <w:t>126,679.33</w:t>
            </w:r>
          </w:p>
        </w:tc>
        <w:tc>
          <w:tcPr>
            <w:tcW w:type="dxa" w:w="2880"/>
          </w:tcPr>
          <w:p>
            <w:r/>
          </w:p>
        </w:tc>
      </w:tr>
      <w:tr>
        <w:tc>
          <w:tcPr>
            <w:tcW w:type="dxa" w:w="2880"/>
          </w:tcPr>
          <w:p>
            <w:r>
              <w:t>OHF</w:t>
            </w:r>
          </w:p>
        </w:tc>
        <w:tc>
          <w:tcPr>
            <w:tcW w:type="dxa" w:w="2880"/>
          </w:tcPr>
          <w:p>
            <w:r>
              <w:t>1,724,010.81</w:t>
            </w:r>
          </w:p>
        </w:tc>
        <w:tc>
          <w:tcPr>
            <w:tcW w:type="dxa" w:w="2880"/>
          </w:tcPr>
          <w:p>
            <w:r/>
          </w:p>
        </w:tc>
      </w:tr>
      <w:tr>
        <w:tc>
          <w:tcPr>
            <w:tcW w:type="dxa" w:w="2880"/>
          </w:tcPr>
          <w:p>
            <w:r>
              <w:t>OHDepreciation</w:t>
            </w:r>
          </w:p>
        </w:tc>
        <w:tc>
          <w:tcPr>
            <w:tcW w:type="dxa" w:w="2880"/>
          </w:tcPr>
          <w:p>
            <w:r>
              <w:t>30,297.60</w:t>
            </w:r>
          </w:p>
        </w:tc>
        <w:tc>
          <w:tcPr>
            <w:tcW w:type="dxa" w:w="2880"/>
          </w:tcPr>
          <w:p>
            <w:r/>
          </w:p>
        </w:tc>
      </w:tr>
      <w:tr>
        <w:tc>
          <w:tcPr>
            <w:tcW w:type="dxa" w:w="2880"/>
          </w:tcPr>
          <w:p>
            <w:r>
              <w:t>OHC</w:t>
            </w:r>
          </w:p>
        </w:tc>
        <w:tc>
          <w:tcPr>
            <w:tcW w:type="dxa" w:w="2880"/>
          </w:tcPr>
          <w:p>
            <w:r>
              <w:t>370,348.18</w:t>
            </w:r>
          </w:p>
        </w:tc>
        <w:tc>
          <w:tcPr>
            <w:tcW w:type="dxa" w:w="2880"/>
          </w:tcPr>
          <w:p>
            <w:r/>
          </w:p>
        </w:tc>
      </w:tr>
    </w:tbl>
    <w:p>
      <w:r>
        <w:t>Ledger (locked, Arjun's FY2025 accrual P&amp;L): 6,453,401.98. Cost-type view of the twelve files: 6,453,401.98. Cost-bucket view: 6,453,401.98. Difference: 0.00. Claims: 9,738 (same set as submitted). Buckets equal cost types on every claim. Overhead cost ratio 32.9 % for the year (monthly 26.7 % to 37.5 %), inside the DOH band of 20 % to under 50 %.</w:t>
      </w:r>
    </w:p>
    <w:p>
      <w:pPr>
        <w:pStyle w:val="Heading2"/>
      </w:pPr>
      <w:r>
        <w:t>4. Basis of preparation</w:t>
      </w:r>
    </w:p>
    <w:p>
      <w:r>
        <w:t>Stage 1 expense: the full FY2025 accrual P&amp;L (6,453,401.98), all heads included (Standard 3.1.1: all GL expenses except balance-sheet items). Stage 2 cost ledger: every P&amp;L head, payroll role, stock category and depreciation class mapped to one of the sixteen DOH cost types (sheet 5). Stage 3 cost centres: dental surgeries 01–06 and CSSD 07 (Dental), OPG room 08 (Imaging), in-house CAD/CAM lab 09 and implants (Prosthesis), anaesthesia (drugs and chair time); reception, insurance, management, purchasing, accounts, IT, HR and external consultants are overhead. Stage 4 overhead allocation: overheads 98 % Dental / 2 % Imaging by floor area; staff on-costs follow their staff category by salary share, headcount and licensed headcount (sheet 7). Stage 5 patient costing: scale-only costing — each claim's cost is its share of the month's ledger by the CPT allocation table; implants, lab-made prostheses and the dental technicians' pay are placed on the claims billing the prosthesis codes by billed units; cost buckets are derived from cost types by the fixed shares of the tuning grid (sheet 7). Stage 6: this report.</w:t>
      </w:r>
    </w:p>
    <w:p>
      <w:pPr>
        <w:pStyle w:val="Heading2"/>
      </w:pPr>
      <w:r>
        <w:t>5. Inclusions, exclusions, work in progress</w:t>
      </w:r>
    </w:p>
    <w:p>
      <w:r>
        <w:t>Included: every expense in the FY2025 P&amp;L, including fines (17,013.03), rejected-claim write-offs (3,402.20) and finance charges (63,005.85), kept because the Standard excludes only balance-sheet items. External laboratory invoices paid from cash in hand (66,745.25 expense head, 54,224.25 in cost of goods sold) are separate purchases and both are included as Prostheses. Excluded: nothing. NABMs: none (0). Work in progress: none — the clinic is a stand-alone outpatient dental facility; every encounter is costed in the month of its start date and multi-visit treatments are costed claim by claim as billed. Non-activity lines: none.</w:t>
      </w:r>
    </w:p>
    <w:p>
      <w:pPr>
        <w:pStyle w:val="Heading2"/>
      </w:pPr>
      <w:r>
        <w:t>6. Encounter and product volumes</w:t>
      </w:r>
    </w:p>
    <w:p>
      <w:r>
        <w:t>Claims in the files: 9,738, identical to the submitted set. Activity master (MySmyle/Calibrate/ClaimScanner reconciled export): 9,717 claims with 23,982 procedure lines; the 21 claims without procedure lines are costed as non-prosthesis dental attendances (sheet 8). Eighteen encounter serials are shared by two claims each in the submitted files (hygiene only, not objected to by DOH).</w:t>
      </w:r>
    </w:p>
    <w:p>
      <w:pPr>
        <w:pStyle w:val="Heading2"/>
      </w:pPr>
      <w:r>
        <w:t>7. Data quality checks</w:t>
      </w:r>
    </w:p>
    <w:p>
      <w:r>
        <w:t>All twelve files pass the internal validator (schema shape, 3-decimal money, no zero or negative encounters, Principal diagnosis, buckets = cost types per claim, overhead bucket = overhead cost types, month total = ledger). Each corrected file was audited against the submitted file: claim sets identical, 0 identity differences. The DOH directional outpatient checks (claims under 50 AED, over 3,000 AED, day procedures over 25,000 AED, no supplies cost) are counted on sheet 9; they stem from the allocation table's prices and are noted for SY03. The ERP (MySmyle) regenerated January and July with the same model: both audited equal to the fils (rounding differences of at most 0.011 AED per cell, net zero).</w:t>
      </w:r>
    </w:p>
    <w:p>
      <w:pPr>
        <w:pStyle w:val="Heading2"/>
      </w:pPr>
      <w:r>
        <w:t>8. Sign-off</w:t>
      </w:r>
    </w:p>
    <w:p>
      <w:r>
        <w:t>Prepared by: ____________________________  Finance Director                 Date: ____________</w:t>
      </w:r>
    </w:p>
    <w:p>
      <w:r>
        <w:t>Reviewed by: ____________________________  Accounts (ledger owner)          Date: ____________</w:t>
      </w:r>
    </w:p>
    <w:p>
      <w:r>
        <w:t>Approved by: ____________________________  Chief Financial Officer           Date: ____________</w:t>
      </w:r>
    </w:p>
    <w:p>
      <w:r>
        <w:t>I confirm that the total cost reported reconciles to the facility's financial statements for FY2025, that all encounters and costs of the period are included, and that the data quality checks above were performed.</w:t>
      </w:r>
    </w:p>
    <w:p>
      <w:r>
        <w:t>Detailed schedules: the accompanying workbook CFO_Reconciliation_Report_FY2025.xlsx (monthly reconciliation, cost types vs ledger, cost buckets, ledger map, stock movement, allocation statistics, encounter volumes, data quality checks, rulings register, submission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