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自我蒸馏 Skill 作业</w:t>
      </w:r>
    </w:p>
    <w:p>
      <w:pPr>
        <w:pStyle w:val="Subtitle"/>
        <w:jc w:val="left"/>
      </w:pPr>
      <w:r>
        <w:t>主题：城市经理代理商入校获客与 C 端转化复盘</w:t>
      </w:r>
    </w:p>
    <w:tbl>
      <w:tblPr>
        <w:tblStyle w:val="TableGrid"/>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一句话概括</w:t>
            </w:r>
            <w:r>
              <w:br/>
              <w:t>这份 skill 蒸馏的是我作为洋葱学园城市经理管理代理商时的真实渠道业务流程：通过入校获客获取学生与家长线索，再围绕家长触达、体验/测评和 C 端成交做复盘、诊断和动作推进。</w:t>
            </w:r>
          </w:p>
        </w:tc>
      </w:tr>
    </w:tbl>
    <w:p/>
    <w:p>
      <w:pPr>
        <w:pStyle w:val="Heading1"/>
      </w:pPr>
      <w:r>
        <w:t>一、蒸馏对象来自我的真实工作流程</w:t>
      </w:r>
    </w:p>
    <w:p>
      <w:r>
        <w:t>我这次自我蒸馏的对象，来自我作为洋葱学园城市经理负责渠道业务的真实工作流程。我的日常工作主要是对接区域代理商，推动代理商通过入校场景完成获客，再把学校场景中获取到的学生和家长线索转化为 C 端用户。</w:t>
      </w:r>
    </w:p>
    <w:p>
      <w:r>
        <w:t>这个流程不是简单地“管理代理商”或“催业绩”，而是要持续判断代理商在“入校获客—线索沉淀—家长触达—体验/测评转化—C 端成交”这条链路中卡在哪个环节。</w:t>
      </w:r>
    </w:p>
    <w:p>
      <w:r>
        <w:t>不同代理商的问题并不一样。有的代理商入校资源强，但后端 C 端转化弱；有的能进校，但活动组织粗糙，线索沉淀质量低；有的线索量够，但家长跟进不及时；有的销售团队不能把洋葱学园的产品价值讲清楚。因此，我把自己的工作流程蒸馏成一个可复用的 skill，用于代理商周复盘、问题诊断、沟通准备和下周动作制定。</w:t>
      </w:r>
    </w:p>
    <w:p>
      <w:pPr>
        <w:pStyle w:val="Heading1"/>
      </w:pPr>
      <w:r>
        <w:t>二、自我蒸馏 Skill 草稿</w:t>
      </w:r>
    </w:p>
    <w:p>
      <w:r>
        <w:t>Skill 名称：school-entry-agent-conversion-review</w:t>
      </w:r>
    </w:p>
    <w:p>
      <w:r>
        <w:t>触发描述：当城市经理需要复盘教育渠道代理商的入校获客、家长线索跟进和 C 端转化表现时使用。</w:t>
      </w:r>
    </w:p>
    <w:p>
      <w:pPr>
        <w:pStyle w:val="Heading2"/>
      </w:pPr>
      <w:r>
        <w:t>适用场景</w:t>
      </w:r>
    </w:p>
    <w:p>
      <w:r>
        <w:t>用于城市经理复盘代理商通过入校获客并完成 C 端转化的业务表现。适用于代理商周复盘、月度复盘、拜访准备、问题诊断、会议纪要整理和下周行动计划制定。</w:t>
      </w:r>
    </w:p>
    <w:p>
      <w:pPr>
        <w:pStyle w:val="Heading2"/>
      </w:pPr>
      <w:r>
        <w:t>触发方式</w:t>
      </w:r>
    </w:p>
    <w:p>
      <w:pPr>
        <w:pStyle w:val="ListBullet"/>
      </w:pPr>
      <w:r>
        <w:t>需要复盘代理商本周入校获客效果。</w:t>
      </w:r>
    </w:p>
    <w:p>
      <w:pPr>
        <w:pStyle w:val="ListBullet"/>
      </w:pPr>
      <w:r>
        <w:t>需要分析代理商 C 端转化不达标的原因。</w:t>
      </w:r>
    </w:p>
    <w:p>
      <w:pPr>
        <w:pStyle w:val="ListBullet"/>
      </w:pPr>
      <w:r>
        <w:t>需要准备与代理商老板或团队的沟通。</w:t>
      </w:r>
    </w:p>
    <w:p>
      <w:pPr>
        <w:pStyle w:val="ListBullet"/>
      </w:pPr>
      <w:r>
        <w:t>需要判断代理商是资源问题、执行问题，还是转化能力问题。</w:t>
      </w:r>
    </w:p>
    <w:p>
      <w:pPr>
        <w:pStyle w:val="ListBullet"/>
      </w:pPr>
      <w:r>
        <w:t>需要向上级汇报城市渠道业务进展。</w:t>
      </w:r>
    </w:p>
    <w:p>
      <w:pPr>
        <w:pStyle w:val="ListBullet"/>
      </w:pPr>
      <w:r>
        <w:t>需要制定下周代理商陪跑动作。</w:t>
      </w:r>
    </w:p>
    <w:p>
      <w:pPr>
        <w:pStyle w:val="Heading2"/>
      </w:pPr>
      <w:r>
        <w:t>工作流程</w:t>
      </w:r>
    </w:p>
    <w:p>
      <w:pPr>
        <w:pStyle w:val="ListNumber"/>
      </w:pPr>
      <w:r>
        <w:t>收集事实数据：本周入校次数、覆盖学校数量、触达学生数量、获取家长线索数量、有效家长沟通数量、体验/测评预约数量、实际体验/测评数量、C 端成交数量、回款金额和上周承诺动作完成情况。</w:t>
      </w:r>
    </w:p>
    <w:p>
      <w:pPr>
        <w:pStyle w:val="ListNumber"/>
      </w:pPr>
      <w:r>
        <w:t>判断业务卡点：区分入校不足、入校质量低、线索沉淀差、家长触达弱、体验转化弱、C 端成交弱和代理商管理问题。</w:t>
      </w:r>
    </w:p>
    <w:p>
      <w:pPr>
        <w:pStyle w:val="ListNumber"/>
      </w:pPr>
      <w:r>
        <w:t>判断代理商类型：分为 A 类、B 类、C 类和风险类，明确下一步是加资源、陪跑、谨慎投入还是预警。</w:t>
      </w:r>
    </w:p>
    <w:p>
      <w:pPr>
        <w:pStyle w:val="ListNumber"/>
      </w:pPr>
      <w:r>
        <w:t>输出沟通策略：先确认已完成动作，再指出最关键的业务卡点，不同时提太多问题，每次只抓一个主矛盾。</w:t>
      </w:r>
    </w:p>
    <w:p>
      <w:pPr>
        <w:pStyle w:val="ListNumber"/>
      </w:pPr>
      <w:r>
        <w:t>形成下周行动计划：明确负责人、数量目标、时间节点和复盘方式。</w:t>
      </w:r>
    </w:p>
    <w:p>
      <w:pPr>
        <w:pStyle w:val="Heading1"/>
      </w:pPr>
      <w:r>
        <w:t>三、我的做法与判断标准</w:t>
      </w:r>
    </w:p>
    <w:p>
      <w:r>
        <w:t>我的做法不是只看最终成交，而是拆开完整业务链路看：入校次数 → 学生触达 → 家长线索 → 家长沟通 → 体验/测评 → C 端成交。</w:t>
      </w:r>
    </w:p>
    <w:p>
      <w:r>
        <w:t>如果成交差，我不会直接判断“代理商不努力”，而是先判断问题在哪一段。入校次数少，说明前端资源或校方关系有问题；入校次数够但线索少，说明活动设计和留资动作有问题；线索够但体验少，说明家长触达和邀约弱；体验够但成交少，说明产品价值表达和成交跟进弱。</w:t>
      </w:r>
    </w:p>
    <w:tbl>
      <w:tblPr>
        <w:tblStyle w:val="TableGrid"/>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什么算做对了</w:t>
            </w:r>
            <w:r>
              <w:br/>
              <w:t>复盘之后，代理商知道下周具体要做什么，而不是只听到“加强转化”“提高执行”这种空泛要求。好的复盘必须能落到数量、动作、负责人和检查时间，并且下次复盘能够验证本次动作是否有效。</w:t>
            </w:r>
          </w:p>
        </w:tc>
      </w:tr>
    </w:tbl>
    <w:p/>
    <w:p>
      <w:pPr>
        <w:pStyle w:val="Heading1"/>
      </w:pPr>
      <w:r>
        <w:t>四、真实或模拟运行证据</w:t>
      </w:r>
    </w:p>
    <w:p>
      <w:pPr>
        <w:pStyle w:val="Heading2"/>
      </w:pPr>
      <w:r>
        <w:t>1. 初稿</w:t>
      </w:r>
    </w:p>
    <w:p>
      <w:r>
        <w:t>我最初的复盘写法是：代理商A本周成交不达标，下周需要加强入校获客，提高家长转化，争取完成目标。</w:t>
      </w:r>
    </w:p>
    <w:p>
      <w:r>
        <w:t>这个版本的问题是太空泛。它没有说明代理商到底卡在入校、线索沉淀、家长触达，还是 C 端成交，也没有形成可检查的下周动作。</w:t>
      </w:r>
    </w:p>
    <w:p>
      <w:pPr>
        <w:pStyle w:val="Heading2"/>
      </w:pPr>
      <w:r>
        <w:t>2. 第一次运行</w:t>
      </w:r>
    </w:p>
    <w:p>
      <w:r>
        <w:t>我用这个 skill 对代理商A做了一次模拟复盘。</w:t>
      </w:r>
    </w:p>
    <w:tbl>
      <w:tblPr>
        <w:tblStyle w:val="TableGrid"/>
        <w:tblW w:type="auto" w:w="0"/>
        <w:tblLayout w:type="fixed"/>
        <w:tblLook w:firstColumn="1" w:firstRow="1" w:lastColumn="0" w:lastRow="0" w:noHBand="0" w:noVBand="1" w:val="04A0"/>
      </w:tblPr>
      <w:tblGrid>
        <w:gridCol w:w="4680"/>
        <w:gridCol w:w="4680"/>
      </w:tblGrid>
      <w:tr>
        <w:tc>
          <w:tcPr>
            <w:tcW w:type="dxa" w:w="3312"/>
            <w:tcMar>
              <w:top w:w="80" w:type="dxa"/>
              <w:start w:w="120" w:type="dxa"/>
              <w:bottom w:w="80" w:type="dxa"/>
              <w:end w:w="120" w:type="dxa"/>
            </w:tcMar>
            <w:vAlign w:val="center"/>
            <w:shd w:fill="F2F4F7"/>
          </w:tcPr>
          <w:p>
            <w:r>
              <w:rPr>
                <w:b/>
              </w:rPr>
              <w:t>指标</w:t>
            </w:r>
          </w:p>
        </w:tc>
        <w:tc>
          <w:tcPr>
            <w:tcW w:type="dxa" w:w="6048"/>
            <w:tcMar>
              <w:top w:w="80" w:type="dxa"/>
              <w:start w:w="120" w:type="dxa"/>
              <w:bottom w:w="80" w:type="dxa"/>
              <w:end w:w="120" w:type="dxa"/>
            </w:tcMar>
            <w:vAlign w:val="center"/>
            <w:shd w:fill="F2F4F7"/>
          </w:tcPr>
          <w:p>
            <w:r>
              <w:rPr>
                <w:b/>
              </w:rPr>
              <w:t>本周数据</w:t>
            </w:r>
          </w:p>
        </w:tc>
      </w:tr>
      <w:tr>
        <w:tc>
          <w:tcPr>
            <w:tcW w:type="dxa" w:w="4680"/>
            <w:tcMar>
              <w:top w:w="80" w:type="dxa"/>
              <w:start w:w="120" w:type="dxa"/>
              <w:bottom w:w="80" w:type="dxa"/>
              <w:end w:w="120" w:type="dxa"/>
            </w:tcMar>
            <w:vAlign w:val="center"/>
          </w:tcPr>
          <w:p>
            <w:r>
              <w:t>本周入校次数</w:t>
            </w:r>
          </w:p>
        </w:tc>
        <w:tc>
          <w:tcPr>
            <w:tcW w:type="dxa" w:w="4680"/>
            <w:tcMar>
              <w:top w:w="80" w:type="dxa"/>
              <w:start w:w="120" w:type="dxa"/>
              <w:bottom w:w="80" w:type="dxa"/>
              <w:end w:w="120" w:type="dxa"/>
            </w:tcMar>
            <w:vAlign w:val="center"/>
          </w:tcPr>
          <w:p>
            <w:r>
              <w:t>3次</w:t>
            </w:r>
          </w:p>
        </w:tc>
      </w:tr>
      <w:tr>
        <w:tc>
          <w:tcPr>
            <w:tcW w:type="dxa" w:w="4680"/>
            <w:tcMar>
              <w:top w:w="80" w:type="dxa"/>
              <w:start w:w="120" w:type="dxa"/>
              <w:bottom w:w="80" w:type="dxa"/>
              <w:end w:w="120" w:type="dxa"/>
            </w:tcMar>
            <w:vAlign w:val="center"/>
          </w:tcPr>
          <w:p>
            <w:r>
              <w:t>覆盖学校</w:t>
            </w:r>
          </w:p>
        </w:tc>
        <w:tc>
          <w:tcPr>
            <w:tcW w:type="dxa" w:w="4680"/>
            <w:tcMar>
              <w:top w:w="80" w:type="dxa"/>
              <w:start w:w="120" w:type="dxa"/>
              <w:bottom w:w="80" w:type="dxa"/>
              <w:end w:w="120" w:type="dxa"/>
            </w:tcMar>
            <w:vAlign w:val="center"/>
          </w:tcPr>
          <w:p>
            <w:r>
              <w:t>2所</w:t>
            </w:r>
          </w:p>
        </w:tc>
      </w:tr>
      <w:tr>
        <w:tc>
          <w:tcPr>
            <w:tcW w:type="dxa" w:w="4680"/>
            <w:tcMar>
              <w:top w:w="80" w:type="dxa"/>
              <w:start w:w="120" w:type="dxa"/>
              <w:bottom w:w="80" w:type="dxa"/>
              <w:end w:w="120" w:type="dxa"/>
            </w:tcMar>
            <w:vAlign w:val="center"/>
          </w:tcPr>
          <w:p>
            <w:r>
              <w:t>触达学生</w:t>
            </w:r>
          </w:p>
        </w:tc>
        <w:tc>
          <w:tcPr>
            <w:tcW w:type="dxa" w:w="4680"/>
            <w:tcMar>
              <w:top w:w="80" w:type="dxa"/>
              <w:start w:w="120" w:type="dxa"/>
              <w:bottom w:w="80" w:type="dxa"/>
              <w:end w:w="120" w:type="dxa"/>
            </w:tcMar>
            <w:vAlign w:val="center"/>
          </w:tcPr>
          <w:p>
            <w:r>
              <w:t>480人</w:t>
            </w:r>
          </w:p>
        </w:tc>
      </w:tr>
      <w:tr>
        <w:tc>
          <w:tcPr>
            <w:tcW w:type="dxa" w:w="4680"/>
            <w:tcMar>
              <w:top w:w="80" w:type="dxa"/>
              <w:start w:w="120" w:type="dxa"/>
              <w:bottom w:w="80" w:type="dxa"/>
              <w:end w:w="120" w:type="dxa"/>
            </w:tcMar>
            <w:vAlign w:val="center"/>
          </w:tcPr>
          <w:p>
            <w:r>
              <w:t>获取家长线索</w:t>
            </w:r>
          </w:p>
        </w:tc>
        <w:tc>
          <w:tcPr>
            <w:tcW w:type="dxa" w:w="4680"/>
            <w:tcMar>
              <w:top w:w="80" w:type="dxa"/>
              <w:start w:w="120" w:type="dxa"/>
              <w:bottom w:w="80" w:type="dxa"/>
              <w:end w:w="120" w:type="dxa"/>
            </w:tcMar>
            <w:vAlign w:val="center"/>
          </w:tcPr>
          <w:p>
            <w:r>
              <w:t>96条</w:t>
            </w:r>
          </w:p>
        </w:tc>
      </w:tr>
      <w:tr>
        <w:tc>
          <w:tcPr>
            <w:tcW w:type="dxa" w:w="4680"/>
            <w:tcMar>
              <w:top w:w="80" w:type="dxa"/>
              <w:start w:w="120" w:type="dxa"/>
              <w:bottom w:w="80" w:type="dxa"/>
              <w:end w:w="120" w:type="dxa"/>
            </w:tcMar>
            <w:vAlign w:val="center"/>
          </w:tcPr>
          <w:p>
            <w:r>
              <w:t>有效家长沟通</w:t>
            </w:r>
          </w:p>
        </w:tc>
        <w:tc>
          <w:tcPr>
            <w:tcW w:type="dxa" w:w="4680"/>
            <w:tcMar>
              <w:top w:w="80" w:type="dxa"/>
              <w:start w:w="120" w:type="dxa"/>
              <w:bottom w:w="80" w:type="dxa"/>
              <w:end w:w="120" w:type="dxa"/>
            </w:tcMar>
            <w:vAlign w:val="center"/>
          </w:tcPr>
          <w:p>
            <w:r>
              <w:t>52条</w:t>
            </w:r>
          </w:p>
        </w:tc>
      </w:tr>
      <w:tr>
        <w:tc>
          <w:tcPr>
            <w:tcW w:type="dxa" w:w="4680"/>
            <w:tcMar>
              <w:top w:w="80" w:type="dxa"/>
              <w:start w:w="120" w:type="dxa"/>
              <w:bottom w:w="80" w:type="dxa"/>
              <w:end w:w="120" w:type="dxa"/>
            </w:tcMar>
            <w:vAlign w:val="center"/>
          </w:tcPr>
          <w:p>
            <w:r>
              <w:t>体验/测评预约</w:t>
            </w:r>
          </w:p>
        </w:tc>
        <w:tc>
          <w:tcPr>
            <w:tcW w:type="dxa" w:w="4680"/>
            <w:tcMar>
              <w:top w:w="80" w:type="dxa"/>
              <w:start w:w="120" w:type="dxa"/>
              <w:bottom w:w="80" w:type="dxa"/>
              <w:end w:w="120" w:type="dxa"/>
            </w:tcMar>
            <w:vAlign w:val="center"/>
          </w:tcPr>
          <w:p>
            <w:r>
              <w:t>16组</w:t>
            </w:r>
          </w:p>
        </w:tc>
      </w:tr>
      <w:tr>
        <w:tc>
          <w:tcPr>
            <w:tcW w:type="dxa" w:w="4680"/>
            <w:tcMar>
              <w:top w:w="80" w:type="dxa"/>
              <w:start w:w="120" w:type="dxa"/>
              <w:bottom w:w="80" w:type="dxa"/>
              <w:end w:w="120" w:type="dxa"/>
            </w:tcMar>
            <w:vAlign w:val="center"/>
          </w:tcPr>
          <w:p>
            <w:r>
              <w:t>实际体验/测评</w:t>
            </w:r>
          </w:p>
        </w:tc>
        <w:tc>
          <w:tcPr>
            <w:tcW w:type="dxa" w:w="4680"/>
            <w:tcMar>
              <w:top w:w="80" w:type="dxa"/>
              <w:start w:w="120" w:type="dxa"/>
              <w:bottom w:w="80" w:type="dxa"/>
              <w:end w:w="120" w:type="dxa"/>
            </w:tcMar>
            <w:vAlign w:val="center"/>
          </w:tcPr>
          <w:p>
            <w:r>
              <w:t>11组</w:t>
            </w:r>
          </w:p>
        </w:tc>
      </w:tr>
      <w:tr>
        <w:tc>
          <w:tcPr>
            <w:tcW w:type="dxa" w:w="4680"/>
            <w:tcMar>
              <w:top w:w="80" w:type="dxa"/>
              <w:start w:w="120" w:type="dxa"/>
              <w:bottom w:w="80" w:type="dxa"/>
              <w:end w:w="120" w:type="dxa"/>
            </w:tcMar>
            <w:vAlign w:val="center"/>
          </w:tcPr>
          <w:p>
            <w:r>
              <w:t>C 端成交</w:t>
            </w:r>
          </w:p>
        </w:tc>
        <w:tc>
          <w:tcPr>
            <w:tcW w:type="dxa" w:w="4680"/>
            <w:tcMar>
              <w:top w:w="80" w:type="dxa"/>
              <w:start w:w="120" w:type="dxa"/>
              <w:bottom w:w="80" w:type="dxa"/>
              <w:end w:w="120" w:type="dxa"/>
            </w:tcMar>
            <w:vAlign w:val="center"/>
          </w:tcPr>
          <w:p>
            <w:r>
              <w:t>3单</w:t>
            </w:r>
          </w:p>
        </w:tc>
      </w:tr>
      <w:tr>
        <w:tc>
          <w:tcPr>
            <w:tcW w:type="dxa" w:w="4680"/>
            <w:tcMar>
              <w:top w:w="80" w:type="dxa"/>
              <w:start w:w="120" w:type="dxa"/>
              <w:bottom w:w="80" w:type="dxa"/>
              <w:end w:w="120" w:type="dxa"/>
            </w:tcMar>
            <w:vAlign w:val="center"/>
          </w:tcPr>
          <w:p>
            <w:r>
              <w:t>成交金额</w:t>
            </w:r>
          </w:p>
        </w:tc>
        <w:tc>
          <w:tcPr>
            <w:tcW w:type="dxa" w:w="4680"/>
            <w:tcMar>
              <w:top w:w="80" w:type="dxa"/>
              <w:start w:w="120" w:type="dxa"/>
              <w:bottom w:w="80" w:type="dxa"/>
              <w:end w:w="120" w:type="dxa"/>
            </w:tcMar>
            <w:vAlign w:val="center"/>
          </w:tcPr>
          <w:p>
            <w:r>
              <w:t>15000元</w:t>
            </w:r>
          </w:p>
        </w:tc>
      </w:tr>
      <w:tr>
        <w:tc>
          <w:tcPr>
            <w:tcW w:type="dxa" w:w="4680"/>
            <w:tcMar>
              <w:top w:w="80" w:type="dxa"/>
              <w:start w:w="120" w:type="dxa"/>
              <w:bottom w:w="80" w:type="dxa"/>
              <w:end w:w="120" w:type="dxa"/>
            </w:tcMar>
            <w:vAlign w:val="center"/>
          </w:tcPr>
          <w:p>
            <w:r>
              <w:t>上周承诺动作</w:t>
            </w:r>
          </w:p>
        </w:tc>
        <w:tc>
          <w:tcPr>
            <w:tcW w:type="dxa" w:w="4680"/>
            <w:tcMar>
              <w:top w:w="80" w:type="dxa"/>
              <w:start w:w="120" w:type="dxa"/>
              <w:bottom w:w="80" w:type="dxa"/>
              <w:end w:w="120" w:type="dxa"/>
            </w:tcMar>
            <w:vAlign w:val="center"/>
          </w:tcPr>
          <w:p>
            <w:r>
              <w:t>完成3次入校活动，实际完成3次</w:t>
            </w:r>
          </w:p>
        </w:tc>
      </w:tr>
    </w:tbl>
    <w:p/>
    <w:p>
      <w:r>
        <w:t>第一次分析结果：代理商A本周入校动作完成度较好，说明前端入校资源和执行意愿是存在的。但从480名学生触达到96条家长线索，线索沉淀率约20%；从96条线索到11组实际体验，体验转化偏弱；最终成交3单，说明主要卡点不在“能不能入校”，而在入校后的线索沉淀、家长触达和 C 端转化承接。</w:t>
      </w:r>
    </w:p>
    <w:p>
      <w:pPr>
        <w:pStyle w:val="Heading2"/>
      </w:pPr>
      <w:r>
        <w:t>3. 纠偏</w:t>
      </w:r>
    </w:p>
    <w:p>
      <w:r>
        <w:t>第一次运行后，我发现初稿仍然不够完整：它分析了数据，但没有判断代理商类型，也没有说明城市经理应该怎么介入。所以我更新了 skill，加入代理商分类。</w:t>
      </w:r>
    </w:p>
    <w:tbl>
      <w:tblPr>
        <w:tblStyle w:val="TableGrid"/>
        <w:tblW w:type="auto" w:w="0"/>
        <w:tblLayout w:type="fixed"/>
        <w:tblLook w:firstColumn="1" w:firstRow="1" w:lastColumn="0" w:lastRow="0" w:noHBand="0" w:noVBand="1" w:val="04A0"/>
      </w:tblPr>
      <w:tblGrid>
        <w:gridCol w:w="4680"/>
        <w:gridCol w:w="4680"/>
      </w:tblGrid>
      <w:tr>
        <w:tc>
          <w:tcPr>
            <w:tcW w:type="dxa" w:w="2016"/>
            <w:tcMar>
              <w:top w:w="80" w:type="dxa"/>
              <w:start w:w="120" w:type="dxa"/>
              <w:bottom w:w="80" w:type="dxa"/>
              <w:end w:w="120" w:type="dxa"/>
            </w:tcMar>
            <w:vAlign w:val="center"/>
            <w:shd w:fill="F2F4F7"/>
          </w:tcPr>
          <w:p>
            <w:r>
              <w:rPr>
                <w:b/>
              </w:rPr>
              <w:t>类型</w:t>
            </w:r>
          </w:p>
        </w:tc>
        <w:tc>
          <w:tcPr>
            <w:tcW w:type="dxa" w:w="7344"/>
            <w:tcMar>
              <w:top w:w="80" w:type="dxa"/>
              <w:start w:w="120" w:type="dxa"/>
              <w:bottom w:w="80" w:type="dxa"/>
              <w:end w:w="120" w:type="dxa"/>
            </w:tcMar>
            <w:vAlign w:val="center"/>
            <w:shd w:fill="F2F4F7"/>
          </w:tcPr>
          <w:p>
            <w:r>
              <w:rPr>
                <w:b/>
              </w:rPr>
              <w:t>判断标准</w:t>
            </w:r>
          </w:p>
        </w:tc>
      </w:tr>
      <w:tr>
        <w:tc>
          <w:tcPr>
            <w:tcW w:type="dxa" w:w="4680"/>
            <w:tcMar>
              <w:top w:w="80" w:type="dxa"/>
              <w:start w:w="120" w:type="dxa"/>
              <w:bottom w:w="80" w:type="dxa"/>
              <w:end w:w="120" w:type="dxa"/>
            </w:tcMar>
            <w:vAlign w:val="center"/>
          </w:tcPr>
          <w:p>
            <w:r>
              <w:t>A类</w:t>
            </w:r>
          </w:p>
        </w:tc>
        <w:tc>
          <w:tcPr>
            <w:tcW w:type="dxa" w:w="4680"/>
            <w:tcMar>
              <w:top w:w="80" w:type="dxa"/>
              <w:start w:w="120" w:type="dxa"/>
              <w:bottom w:w="80" w:type="dxa"/>
              <w:end w:w="120" w:type="dxa"/>
            </w:tcMar>
            <w:vAlign w:val="center"/>
          </w:tcPr>
          <w:p>
            <w:r>
              <w:t>入校资源强，执行强，转化好，适合加资源和复制经验。</w:t>
            </w:r>
          </w:p>
        </w:tc>
      </w:tr>
      <w:tr>
        <w:tc>
          <w:tcPr>
            <w:tcW w:type="dxa" w:w="4680"/>
            <w:tcMar>
              <w:top w:w="80" w:type="dxa"/>
              <w:start w:w="120" w:type="dxa"/>
              <w:bottom w:w="80" w:type="dxa"/>
              <w:end w:w="120" w:type="dxa"/>
            </w:tcMar>
            <w:vAlign w:val="center"/>
          </w:tcPr>
          <w:p>
            <w:r>
              <w:t>B类</w:t>
            </w:r>
          </w:p>
        </w:tc>
        <w:tc>
          <w:tcPr>
            <w:tcW w:type="dxa" w:w="4680"/>
            <w:tcMar>
              <w:top w:w="80" w:type="dxa"/>
              <w:start w:w="120" w:type="dxa"/>
              <w:bottom w:w="80" w:type="dxa"/>
              <w:end w:w="120" w:type="dxa"/>
            </w:tcMar>
            <w:vAlign w:val="center"/>
          </w:tcPr>
          <w:p>
            <w:r>
              <w:t>有入校资源，但转化弱，需要陪跑话术、流程和数据管理。</w:t>
            </w:r>
          </w:p>
        </w:tc>
      </w:tr>
      <w:tr>
        <w:tc>
          <w:tcPr>
            <w:tcW w:type="dxa" w:w="4680"/>
            <w:tcMar>
              <w:top w:w="80" w:type="dxa"/>
              <w:start w:w="120" w:type="dxa"/>
              <w:bottom w:w="80" w:type="dxa"/>
              <w:end w:w="120" w:type="dxa"/>
            </w:tcMar>
            <w:vAlign w:val="center"/>
          </w:tcPr>
          <w:p>
            <w:r>
              <w:t>C类</w:t>
            </w:r>
          </w:p>
        </w:tc>
        <w:tc>
          <w:tcPr>
            <w:tcW w:type="dxa" w:w="4680"/>
            <w:tcMar>
              <w:top w:w="80" w:type="dxa"/>
              <w:start w:w="120" w:type="dxa"/>
              <w:bottom w:w="80" w:type="dxa"/>
              <w:end w:w="120" w:type="dxa"/>
            </w:tcMar>
            <w:vAlign w:val="center"/>
          </w:tcPr>
          <w:p>
            <w:r>
              <w:t>入校资源弱，执行也弱，需要谨慎投入。</w:t>
            </w:r>
          </w:p>
        </w:tc>
      </w:tr>
      <w:tr>
        <w:tc>
          <w:tcPr>
            <w:tcW w:type="dxa" w:w="4680"/>
            <w:tcMar>
              <w:top w:w="80" w:type="dxa"/>
              <w:start w:w="120" w:type="dxa"/>
              <w:bottom w:w="80" w:type="dxa"/>
              <w:end w:w="120" w:type="dxa"/>
            </w:tcMar>
            <w:vAlign w:val="center"/>
          </w:tcPr>
          <w:p>
            <w:r>
              <w:t>风险类</w:t>
            </w:r>
          </w:p>
        </w:tc>
        <w:tc>
          <w:tcPr>
            <w:tcW w:type="dxa" w:w="4680"/>
            <w:tcMar>
              <w:top w:w="80" w:type="dxa"/>
              <w:start w:w="120" w:type="dxa"/>
              <w:bottom w:w="80" w:type="dxa"/>
              <w:end w:w="120" w:type="dxa"/>
            </w:tcMar>
            <w:vAlign w:val="center"/>
          </w:tcPr>
          <w:p>
            <w:r>
              <w:t>连续无法入校，或入校后没有有效沉淀，需要预警。</w:t>
            </w:r>
          </w:p>
        </w:tc>
      </w:tr>
    </w:tbl>
    <w:p/>
    <w:p>
      <w:r>
        <w:t>根据这个标准，代理商A更适合归为 B 类：有入校资源，也愿意执行，但后端转化流程和团队能力偏弱。</w:t>
      </w:r>
    </w:p>
    <w:p>
      <w:pPr>
        <w:pStyle w:val="Heading2"/>
      </w:pPr>
      <w:r>
        <w:t>4. 更新后复验</w:t>
      </w:r>
    </w:p>
    <w:p>
      <w:r>
        <w:t>更新后的输出：代理商A当前不是入校资源不足，而是入校后的线索沉淀、家长触达和 C 端转化承接偏弱。建议将其归为 B 类代理商，下周重点进行转化链路陪跑。</w:t>
      </w:r>
    </w:p>
    <w:p>
      <w:pPr>
        <w:pStyle w:val="ListBullet"/>
      </w:pPr>
      <w:r>
        <w:t>完成不少于3次入校活动。</w:t>
      </w:r>
    </w:p>
    <w:p>
      <w:pPr>
        <w:pStyle w:val="ListBullet"/>
      </w:pPr>
      <w:r>
        <w:t>获取家长线索不少于120条。</w:t>
      </w:r>
    </w:p>
    <w:p>
      <w:pPr>
        <w:pStyle w:val="ListBullet"/>
      </w:pPr>
      <w:r>
        <w:t>所有家长线索在24小时内完成首轮触达。</w:t>
      </w:r>
    </w:p>
    <w:p>
      <w:pPr>
        <w:pStyle w:val="ListBullet"/>
      </w:pPr>
      <w:r>
        <w:t>体验/测评预约不少于20组，实际体验/测评不少于15组。</w:t>
      </w:r>
    </w:p>
    <w:p>
      <w:pPr>
        <w:pStyle w:val="ListBullet"/>
      </w:pPr>
      <w:r>
        <w:t>C 端成交目标不少于5单。</w:t>
      </w:r>
    </w:p>
    <w:p>
      <w:r>
        <w:t>城市经理介入动作：陪代理商复盘一次入校活动后的线索整理流程；检查家长触达话术，重点优化“为什么孩子需要洋葱学园”的表达；跟进高意向家长转化节奏，明确体验后24小时内二次跟进；周五复盘入校触达数、线索沉淀率、体验预约率、实际体验率和成交率。</w:t>
      </w:r>
    </w:p>
    <w:p>
      <w:r>
        <w:t>复验结果：更新后的版本比初稿更接近真实业务。它不是泛泛要求代理商提高业绩，而是明确判断代理商类型、定位业务卡点，并形成了下周可执行、可检查、可复盘的动作。</w:t>
      </w:r>
    </w:p>
    <w:p>
      <w:pPr>
        <w:pStyle w:val="Heading1"/>
      </w:pPr>
      <w:r>
        <w:t>五、哪些能交给 Codex，哪些必须人工判断</w:t>
      </w:r>
    </w:p>
    <w:tbl>
      <w:tblPr>
        <w:tblStyle w:val="TableGrid"/>
        <w:tblW w:type="auto" w:w="0"/>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vAlign w:val="center"/>
            <w:shd w:fill="F2F4F7"/>
          </w:tcPr>
          <w:p>
            <w:r>
              <w:rPr>
                <w:b/>
              </w:rPr>
              <w:t>可以交给 Codex</w:t>
            </w:r>
          </w:p>
        </w:tc>
        <w:tc>
          <w:tcPr>
            <w:tcW w:type="dxa" w:w="4680"/>
            <w:tcMar>
              <w:top w:w="80" w:type="dxa"/>
              <w:start w:w="120" w:type="dxa"/>
              <w:bottom w:w="80" w:type="dxa"/>
              <w:end w:w="120" w:type="dxa"/>
            </w:tcMar>
            <w:vAlign w:val="center"/>
            <w:shd w:fill="F2F4F7"/>
          </w:tcPr>
          <w:p>
            <w:r>
              <w:rPr>
                <w:b/>
              </w:rPr>
              <w:t>必须人工判断</w:t>
            </w:r>
          </w:p>
        </w:tc>
      </w:tr>
      <w:tr>
        <w:tc>
          <w:tcPr>
            <w:tcW w:type="dxa" w:w="4680"/>
            <w:tcMar>
              <w:top w:w="80" w:type="dxa"/>
              <w:start w:w="120" w:type="dxa"/>
              <w:bottom w:w="80" w:type="dxa"/>
              <w:end w:w="120" w:type="dxa"/>
            </w:tcMar>
            <w:vAlign w:val="top"/>
          </w:tcPr>
          <w:p>
            <w:r>
              <w:t>整理代理商周报和沟通纪要；汇总入校、触达、线索、体验、成交数据；根据漏斗数据初步识别卡点；生成沟通提纲、下周行动计划和城市渠道业务汇报。</w:t>
            </w:r>
          </w:p>
        </w:tc>
        <w:tc>
          <w:tcPr>
            <w:tcW w:type="dxa" w:w="4680"/>
            <w:tcMar>
              <w:top w:w="80" w:type="dxa"/>
              <w:start w:w="120" w:type="dxa"/>
              <w:bottom w:w="80" w:type="dxa"/>
              <w:end w:w="120" w:type="dxa"/>
            </w:tcMar>
            <w:vAlign w:val="top"/>
          </w:tcPr>
          <w:p>
            <w:r>
              <w:t>代理商老板是否重视业务；代理商团队是否有执行能力；学校关系是否稳定；入校活动质量是否真实有效；代理商提出的问题是真困难还是借口；是否继续投入资源、加大扶持或进行预警；关键沟通中的语气、关系维护和谈判节奏。</w:t>
            </w:r>
          </w:p>
        </w:tc>
      </w:tr>
    </w:tbl>
    <w:p>
      <w:pPr>
        <w:pStyle w:val="Heading1"/>
      </w:pPr>
      <w:r>
        <w:t>六、总结</w:t>
      </w:r>
    </w:p>
    <w:p>
      <w:r>
        <w:t>这份 skill 不是一个通用销售模板，而是来自我作为洋葱学园城市经理的真实渠道业务流程。它沉淀的是我管理代理商时的判断方法：不只看代理商有没有入校，也不只看最终成交，而是完整拆解“入校获客—线索沉淀—家长触达—体验/测评转化—C 端成交”的业务链路。</w:t>
      </w:r>
    </w:p>
    <w:p>
      <w:r>
        <w:t>通过这次自我蒸馏，我把原本依赖经验的复盘动作，变成了一套可以持续复用的个人工作流。初稿只是笼统评价代理商业绩，第一次运行后发现缺少代理商分类和城市经理介入动作，于是我补充了 A/B/C/风险类判断，并在复验中形成了更具体的下周计划。</w:t>
      </w:r>
    </w:p>
    <w:p>
      <w:r>
        <w:t>Codex 可以帮助我整理材料、分析数据和生成复盘文本，但真正的业务判断、代理商关系判断、资源投入判断和关键谈判，仍然必须由我自己完成。这也是这个 skill 的边界和价值：让 AI 帮我提高复盘效率，但不替代我作为城市经理的业务判断。</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8"/>
      </w:rPr>
      <w:t>自我蒸馏 Skill 作业</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eastAsia="Microsoft Ya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