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Process for Collecting Sports &amp; Wellness Interest Feedback</w:t>
      </w:r>
    </w:p>
    <w:p>
      <w:pPr>
        <w:pStyle w:val="Heading2"/>
      </w:pPr>
      <w:r>
        <w:t>1. Objective</w:t>
      </w:r>
    </w:p>
    <w:p>
      <w:pPr>
        <w:spacing w:after="240"/>
      </w:pPr>
      <w:r>
        <w:t>The objective of this process is to collect employee interest for Sports &amp; Wellness activities in a professional, scalable, and low-effort manner while ensuring business continuity, manager visibility, and zero operational disruption.</w:t>
      </w:r>
    </w:p>
    <w:p>
      <w:pPr>
        <w:pStyle w:val="Heading2"/>
      </w:pPr>
      <w:r>
        <w:t>2. Key Design Principles</w:t>
      </w:r>
    </w:p>
    <w:p>
      <w:pPr>
        <w:spacing w:after="240"/>
      </w:pPr>
      <w:r>
        <w:t>- No in-person follow-ups</w:t>
        <w:br/>
        <w:t>- Minimal manual effort</w:t>
        <w:br/>
        <w:t>- Manager-aware decision making</w:t>
        <w:br/>
        <w:t>- Shift &amp; workload protection</w:t>
        <w:br/>
        <w:t>- Fully digital and auditable</w:t>
        <w:br/>
        <w:t>- Reusable year-on-year</w:t>
      </w:r>
    </w:p>
    <w:p>
      <w:pPr>
        <w:pStyle w:val="Heading2"/>
      </w:pPr>
      <w:r>
        <w:t>3. Recommended Model – Two-Layer Digital Intake</w:t>
      </w:r>
    </w:p>
    <w:p>
      <w:pPr>
        <w:spacing w:after="240"/>
      </w:pPr>
      <w:r>
        <w:t>The organization will use a two-layer digital intake model:</w:t>
        <w:br/>
        <w:br/>
        <w:t>Layer 1: Employee Interest Survey (non-committal)</w:t>
        <w:br/>
        <w:t>Layer 2: Manager Validation Survey (business continuity gate)</w:t>
        <w:br/>
        <w:br/>
        <w:t>This separation ensures employee engagement without impacting critical operations.</w:t>
      </w:r>
    </w:p>
    <w:p>
      <w:pPr>
        <w:pStyle w:val="Heading2"/>
      </w:pPr>
      <w:r>
        <w:t>4. Layer 1 – Employee Interest Survey</w:t>
      </w:r>
    </w:p>
    <w:p>
      <w:pPr>
        <w:spacing w:after="240"/>
      </w:pPr>
      <w:r>
        <w:t>Purpose:</w:t>
        <w:br/>
        <w:t>- Capture interest across games</w:t>
        <w:br/>
        <w:t>- Understand availability and shift constraints</w:t>
        <w:br/>
        <w:t>- Avoid premature commitments</w:t>
        <w:br/>
        <w:br/>
        <w:t>Mandatory Data Fields:</w:t>
        <w:br/>
        <w:t>- Employee ID, Name, Department</w:t>
        <w:br/>
        <w:t>- Manager Name</w:t>
        <w:br/>
        <w:t>- Shift (Day/Night/Rotational)</w:t>
        <w:br/>
        <w:t>- Game interests with priority order</w:t>
        <w:br/>
        <w:t>- Preferred quarter and time slot</w:t>
        <w:br/>
        <w:t>- Medical declaration</w:t>
        <w:br/>
        <w:br/>
        <w:t>The survey should take no more than 3 minutes to complete.</w:t>
      </w:r>
    </w:p>
    <w:p>
      <w:pPr>
        <w:pStyle w:val="Heading2"/>
      </w:pPr>
      <w:r>
        <w:t>5. Layer 2 – Manager Validation Survey</w:t>
      </w:r>
    </w:p>
    <w:p>
      <w:pPr>
        <w:spacing w:after="240"/>
      </w:pPr>
      <w:r>
        <w:t>Purpose:</w:t>
        <w:br/>
        <w:t>- Ensure business continuity</w:t>
        <w:br/>
        <w:t>- Validate team headcount limits</w:t>
        <w:br/>
        <w:t>- Identify blackout or peak workload periods</w:t>
        <w:br/>
        <w:br/>
        <w:t>Mandatory Data Fields:</w:t>
        <w:br/>
        <w:t>- Team size</w:t>
        <w:br/>
        <w:t>- Max participants allowed</w:t>
        <w:br/>
        <w:t>- Shift distribution</w:t>
        <w:br/>
        <w:t>- Coverage constraints</w:t>
        <w:br/>
        <w:t>- Approval stance (Approved / Conditional / Not Recommended)</w:t>
      </w:r>
    </w:p>
    <w:p>
      <w:pPr>
        <w:pStyle w:val="Heading2"/>
      </w:pPr>
      <w:r>
        <w:t>6. Automation &amp; Data Flow</w:t>
      </w:r>
    </w:p>
    <w:p>
      <w:pPr>
        <w:spacing w:after="240"/>
      </w:pPr>
      <w:r>
        <w:t>End-to-End Flow:</w:t>
        <w:br/>
        <w:t>Employee Interest Survey → Manager Validation → Auto Dashboards → Final Planning</w:t>
        <w:br/>
        <w:br/>
        <w:t>Automation can be implemented using Microsoft Power Automate, Google Apps Script, or internal tools.</w:t>
        <w:br/>
        <w:t>Manual follow-ups must be avoided.</w:t>
      </w:r>
    </w:p>
    <w:p>
      <w:pPr>
        <w:pStyle w:val="Heading2"/>
      </w:pPr>
      <w:r>
        <w:t>7. Dashboards &amp; Reporting</w:t>
      </w:r>
    </w:p>
    <w:p>
      <w:pPr>
        <w:spacing w:after="240"/>
      </w:pPr>
      <w:r>
        <w:t>Required dashboards include:</w:t>
        <w:br/>
        <w:t>- Game-wise interest count</w:t>
        <w:br/>
        <w:t>- Department-wise participation</w:t>
        <w:br/>
        <w:t>- Shift-based distribution</w:t>
        <w:br/>
        <w:t>- Manager approval status</w:t>
        <w:br/>
        <w:t>- Business risk indicators</w:t>
        <w:br/>
        <w:br/>
        <w:t>Dashboards must be read-only for leadership visibility.</w:t>
      </w:r>
    </w:p>
    <w:p>
      <w:pPr>
        <w:pStyle w:val="Heading2"/>
      </w:pPr>
      <w:r>
        <w:t>8. Communication Approach</w:t>
      </w:r>
    </w:p>
    <w:p>
      <w:pPr>
        <w:spacing w:after="240"/>
      </w:pPr>
      <w:r>
        <w:t>Communication must be formal and transparent:</w:t>
        <w:br/>
        <w:t>- Employee mail clarifies that interest is not a commitment</w:t>
        <w:br/>
        <w:t>- Manager mail emphasizes business continuity</w:t>
        <w:br/>
        <w:t>- Closure mail confirms planning alignment</w:t>
        <w:br/>
        <w:br/>
        <w:t>No ad-hoc or informal communication is permitted.</w:t>
      </w:r>
    </w:p>
    <w:p>
      <w:pPr>
        <w:pStyle w:val="Heading2"/>
      </w:pPr>
      <w:r>
        <w:t>9. Governance &amp; Compliance</w:t>
      </w:r>
    </w:p>
    <w:p>
      <w:pPr>
        <w:spacing w:after="240"/>
      </w:pPr>
      <w:r>
        <w:t>All data collected must comply with organizational data privacy standards.</w:t>
        <w:br/>
        <w:t>Medical declarations and consent must be stored securely.</w:t>
        <w:br/>
        <w:t>Records must be retained for audit purposes.</w:t>
      </w:r>
    </w:p>
    <w:p>
      <w:pPr>
        <w:pStyle w:val="Heading2"/>
      </w:pPr>
      <w:r>
        <w:t>10. Expected Outcomes</w:t>
      </w:r>
    </w:p>
    <w:p>
      <w:pPr>
        <w:spacing w:after="240"/>
      </w:pPr>
      <w:r>
        <w:t>- Accurate interest mapping</w:t>
        <w:br/>
        <w:t>- Zero business disruption</w:t>
        <w:br/>
        <w:t>- Reduced manual coordination</w:t>
        <w:br/>
        <w:t>- Improved manager trust</w:t>
        <w:br/>
        <w:t>- Professional and repeatable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