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sz w:val="22"/>
        </w:rPr>
        <w:t>Zoe Y. Zhang</w:t>
      </w:r>
    </w:p>
    <w:p>
      <w:pPr>
        <w:spacing w:before="0" w:after="240"/>
        <w:jc w:val="center"/>
      </w:pPr>
      <w:r>
        <w:rPr>
          <w:rFonts w:ascii="Calibri" w:hAnsi="Calibri"/>
          <w:b w:val="0"/>
          <w:sz w:val="22"/>
        </w:rPr>
        <w:t>336 Devonian Way, Ottawa  |  613-890-9853  |  zoe.zhang.9581@gmail.com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[Date]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Hiring Committee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The Ottawa Mission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Dear Hiring Committee,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The work The Ottawa Mission does — providing food, shelter, and hope to Ottawa's most vulnerable — is the kind of mission that makes fundraising feel genuinely meaningful. I am excited to apply for the Digital Fundraising Strategist role and to bring five years of nonprofit digital fundraising experience to a team working toward an ambitious $3.4M digital revenue goal. I have built my career on using data, testing, and audience insight to grow online giving programs, and I am confident I can help The Ottawa Mission reach and exceed that target.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In my current role as Digital Campaigns Coordinator at the Ottawa Humane Society, I lead and project-manage digital fundraising campaigns from brief to post-campaign reporting — overseeing email appeals, donation forms, landing pages, and targeted donor communications. A major focus has been strengthening the health of our donor list. After identifying an opportunity to give subscribers more control over their communications, I introduced a two-step preference centre and refined our segmentation approach. The result: our average unsubscribe rate dropped 51%, from 0.94% to 0.46%, while complaints fell 26%. I manage these campaigns end-to-end, coordinating with internal teams and external vendors to keep timelines and deliverables on track.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I rely on testing and performance data to continuously improve fundraising results. Through ongoing A/B testing of subject lines, layouts, calls-to-action, and audience segments, I helped drive a 26% increase in annual email fundraising revenue and 15% year-over-year growth in open rates. I have also executed direct-response appeals that generated significant revenue — including a spring appeal that raised $11,840 and an emergency appeal that raised $10,110. After each campaign, I analyze performance data, draw out key learnings, and apply them to strengthen future strategy.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On the operational side, I bring hands-on experience managing digital fundraising platforms, workflows, and cross-functional projects. I work extensively in Engaging Networks to manage donor segments, donation forms, landing pages, and email campaigns, and I maintain website content in WordPress following AODA and WCAG 2.0 accessibility standards. I have developed SOPs to standardize digital processes and support team members in executing campaigns consistently. While Engaging Networks has been my primary platform, I am highly adaptable and look forward to building proficiency in Fundraise Up and MailChimp quickly. My knowledge of CASL, digital accessibility, and donor communications ensures I can balance revenue goals with an inclusive, compliant donor experience.</w:t>
      </w:r>
    </w:p>
    <w:p>
      <w:pPr>
        <w:spacing w:before="0" w:after="240"/>
      </w:pPr>
      <w:r>
        <w:rPr>
          <w:rFonts w:ascii="Calibri" w:hAnsi="Calibri"/>
          <w:b w:val="0"/>
          <w:sz w:val="22"/>
        </w:rPr>
        <w:t>I would love to discuss how my experience in digital fundraising strategy, project management, and data-driven campaign optimization can help The Ottawa Mission grow its digital program and achieve its $3.4M goal. Thank you sincerely for your time and consideration — I hope to connect soon.</w:t>
      </w:r>
    </w:p>
    <w:p>
      <w:pPr>
        <w:spacing w:before="0" w:after="40"/>
      </w:pPr>
      <w:r>
        <w:rPr>
          <w:rFonts w:ascii="Calibri" w:hAnsi="Calibri"/>
          <w:b w:val="0"/>
          <w:sz w:val="22"/>
        </w:rPr>
        <w:t>Sincerely,</w:t>
      </w:r>
    </w:p>
    <w:p>
      <w:pPr>
        <w:spacing w:before="0" w:after="0"/>
      </w:pPr>
      <w:r>
        <w:rPr>
          <w:rFonts w:ascii="Calibri" w:hAnsi="Calibri"/>
          <w:b w:val="0"/>
          <w:sz w:val="22"/>
        </w:rPr>
        <w:t>Zoe Y. Zhang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