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trike w:val="0"/>
          <w:sz w:val="28"/>
          <w:u w:val="none"/>
        </w:rPr>
        <w:t>Zoe Y. Zhang</w:t>
      </w:r>
    </w:p>
    <w:p>
      <w:pPr>
        <w:jc w:val="center"/>
      </w:pPr>
      <w:r>
        <w:rPr>
          <w:b w:val="0"/>
          <w:i w:val="0"/>
          <w:strike w:val="0"/>
          <w:sz w:val="22"/>
          <w:u w:val="none"/>
        </w:rPr>
        <w:t>336 Devonian way, Ottawa | 613-890-9853 | zoe.zhang.9581@gmail.com</w:t>
      </w:r>
    </w:p>
    <w:p>
      <w:pPr>
        <w:pStyle w:val="Heading2"/>
      </w:pPr>
      <w:r>
        <w:t>Summary</w:t>
      </w:r>
    </w:p>
    <w:p>
      <w:r>
        <w:rPr>
          <w:b w:val="0"/>
          <w:i w:val="0"/>
          <w:strike/>
          <w:color w:val="B40000"/>
          <w:u w:val="none"/>
        </w:rPr>
        <w:t>Digital fundraising professional with 5 years of nonprofit experience managing fundraising campaigns, email marketing, donor communication, and digital content. Experienced in campaign optimization, A/B testing, audience segmentation, and digital fundraising platforms.</w:t>
      </w:r>
      <w:r>
        <w:rPr>
          <w:b w:val="0"/>
          <w:i w:val="0"/>
          <w:strike w:val="0"/>
          <w:color w:val="007800"/>
          <w:u w:val="single"/>
        </w:rPr>
        <w:t>Digital fundraising strategist with 5+ years of nonprofit experience leading end-to-end digital fundraising campaigns, managing cross-functional projects, and driving revenue growth through data-driven strategy, A/B testing, and audience segmentation. Experienced in digital platform management, email marketing, donor acquisition and cultivation, and content production across multiple channels.</w:t>
      </w:r>
    </w:p>
    <w:p>
      <w:pPr>
        <w:pStyle w:val="Heading2"/>
      </w:pPr>
      <w:r>
        <w:t>Technical &amp; Core Skills</w:t>
      </w:r>
    </w:p>
    <w:p>
      <w:r>
        <w:rPr>
          <w:b/>
          <w:i w:val="0"/>
          <w:strike w:val="0"/>
          <w:u w:val="none"/>
        </w:rPr>
        <w:t xml:space="preserve">Fundraising Strategy &amp; Analytics: </w:t>
      </w:r>
      <w:r>
        <w:rPr>
          <w:b w:val="0"/>
          <w:i w:val="0"/>
          <w:strike/>
          <w:color w:val="B40000"/>
          <w:u w:val="none"/>
        </w:rPr>
        <w:t>Digital Fundraising Strategy, Donor Acquisition &amp; Cultivation, Direct Response, A/B Testing, Google Analytics, UTM tracking, CASL, AODA/Accessibility</w:t>
      </w:r>
      <w:r>
        <w:rPr>
          <w:b w:val="0"/>
          <w:i w:val="0"/>
          <w:strike w:val="0"/>
          <w:color w:val="007800"/>
          <w:u w:val="single"/>
        </w:rPr>
        <w:t>Digital Fundraising Strategy, Donor Acquisition &amp; Cultivation, Direct Response, A/B Testing, Campaign Project Management, Google Analytics, UTM Tracking, CASL, AODA/WCAG Accessibility</w:t>
      </w:r>
    </w:p>
    <w:p>
      <w:r>
        <w:rPr>
          <w:b/>
          <w:i w:val="0"/>
          <w:strike w:val="0"/>
          <w:u w:val="none"/>
        </w:rPr>
        <w:t xml:space="preserve">Platforms &amp; Digital Tools: </w:t>
      </w:r>
      <w:r>
        <w:rPr>
          <w:b w:val="0"/>
          <w:i w:val="0"/>
          <w:strike/>
          <w:color w:val="B40000"/>
          <w:u w:val="none"/>
        </w:rPr>
        <w:t>Engaging Networks, WordPress, Canva, Adobe Creative Suite (Photoshop, InDesign, XD)</w:t>
      </w:r>
      <w:r>
        <w:rPr>
          <w:b w:val="0"/>
          <w:i w:val="0"/>
          <w:strike w:val="0"/>
          <w:color w:val="007800"/>
          <w:u w:val="single"/>
        </w:rPr>
        <w:t>Engaging Networks, Fundraise Up (familiar), MailChimp (familiar), WordPress, Hootsuite, Canva, Adobe Creative Suite (Photoshop, InDesign, Premiere Pro, After Effects, XD)</w:t>
      </w:r>
    </w:p>
    <w:p>
      <w:r>
        <w:rPr>
          <w:b/>
          <w:i w:val="0"/>
          <w:strike w:val="0"/>
          <w:u w:val="none"/>
        </w:rPr>
        <w:t xml:space="preserve">Languages: </w:t>
      </w:r>
      <w:r>
        <w:rPr>
          <w:b w:val="0"/>
          <w:i w:val="0"/>
          <w:strike w:val="0"/>
          <w:u w:val="none"/>
        </w:rPr>
        <w:t>English (Fluent), Mandarin Chinese (Native)</w:t>
      </w:r>
    </w:p>
    <w:p>
      <w:pPr>
        <w:pStyle w:val="Heading2"/>
      </w:pPr>
      <w:r>
        <w:t>Work Experience</w:t>
      </w:r>
    </w:p>
    <w:p>
      <w:r>
        <w:rPr>
          <w:b/>
          <w:i w:val="0"/>
          <w:strike/>
          <w:color w:val="B40000"/>
          <w:u w:val="none"/>
        </w:rPr>
        <w:t>COORDINATOR: DIGITAL CAMPAIGNS | OTTAWA HUMANE SOCIETY | 2022 – PRESENT</w:t>
      </w:r>
      <w:r>
        <w:br/>
      </w:r>
      <w:r>
        <w:rPr>
          <w:b/>
          <w:i w:val="0"/>
          <w:strike w:val="0"/>
          <w:color w:val="007800"/>
          <w:u w:val="single"/>
        </w:rPr>
        <w:t>DIGITAL CAMPAIGNS STRATEGIST &amp; PROJECT MANAGER | OTTAWA HUMANE SOCIETY | 2022 – PRESENT</w:t>
      </w:r>
    </w:p>
    <w:p>
      <w:pPr>
        <w:pStyle w:val="ListBullet"/>
      </w:pPr>
      <w:r>
        <w:rPr>
          <w:b w:val="0"/>
          <w:i w:val="0"/>
          <w:strike/>
          <w:color w:val="B40000"/>
          <w:u w:val="none"/>
        </w:rPr>
        <w:t>Write copy and create donation pages for digital communications, including annual fundraising appeals, emergency appeals, stewardship emails, and targeted event campaigns. A spring appeal generated $11,840 with a 46.97% average open rate and 1.91% click rate, while an emergency appeal raised $10,110.</w:t>
      </w:r>
      <w:r>
        <w:t xml:space="preserve"> → </w:t>
      </w:r>
      <w:r>
        <w:rPr>
          <w:b w:val="0"/>
          <w:i w:val="0"/>
          <w:strike w:val="0"/>
          <w:color w:val="007800"/>
          <w:u w:val="single"/>
        </w:rPr>
        <w:t>Project-managed and executed end-to-end digital fundraising campaigns — including annual appeals, emergency appeals, stewardship emails, and targeted event campaigns — from brief development through deployment and reporting. A spring appeal generated $11,840 (46.97% open rate; 1.91% CTR); an emergency appeal raised $10,110.</w:t>
      </w:r>
    </w:p>
    <w:p>
      <w:pPr>
        <w:pStyle w:val="ListBullet"/>
      </w:pPr>
      <w:r>
        <w:rPr>
          <w:b w:val="0"/>
          <w:i w:val="0"/>
          <w:strike w:val="0"/>
          <w:u w:val="none"/>
        </w:rPr>
        <w:t>Reduced email unsubscribe rates by 51% by improving audience segmentation and creating a two-step communication preference page with more flexible options for subscribers. Complaints also dropped by 26%.</w:t>
      </w:r>
    </w:p>
    <w:p>
      <w:pPr>
        <w:pStyle w:val="ListBullet"/>
      </w:pPr>
      <w:r>
        <w:rPr>
          <w:b w:val="0"/>
          <w:i w:val="0"/>
          <w:strike w:val="0"/>
          <w:u w:val="none"/>
        </w:rPr>
        <w:t>Partnered with manager to run ongoing A/B tests on subject lines, email layouts, calls-to-action, and audience segments in mass marketing emails, resulting in a 15% increase in email open rates year over year and a 26% increase in annual revenue.</w:t>
      </w:r>
    </w:p>
    <w:p>
      <w:pPr>
        <w:pStyle w:val="ListBullet"/>
      </w:pPr>
      <w:r>
        <w:rPr>
          <w:b w:val="0"/>
          <w:i w:val="0"/>
          <w:strike/>
          <w:color w:val="B40000"/>
          <w:u w:val="none"/>
        </w:rPr>
        <w:t>Manage OHS donation forms and campaign landing pages, and update website content, images, and campaign information to support fundraising efforts and keep the donor experience clear and easy to navigate by following AODA standards.</w:t>
      </w:r>
      <w:r>
        <w:t xml:space="preserve"> → </w:t>
      </w:r>
      <w:r>
        <w:rPr>
          <w:b w:val="0"/>
          <w:i w:val="0"/>
          <w:strike w:val="0"/>
          <w:color w:val="007800"/>
          <w:u w:val="single"/>
        </w:rPr>
        <w:t>Manage OHS donation forms and campaign landing pages in Engaging Networks, and maintain website content in WordPress following AODA/WCAG 2.0 accessibility standards to ensure a clear, compliant donor experience.</w:t>
      </w:r>
    </w:p>
    <w:p>
      <w:pPr>
        <w:pStyle w:val="ListBullet"/>
      </w:pPr>
      <w:r>
        <w:rPr>
          <w:b w:val="0"/>
          <w:i w:val="0"/>
          <w:strike w:val="0"/>
          <w:u w:val="none"/>
        </w:rPr>
        <w:t>Set up and support peer-to-peer fundraising events by creating participant materials and digital assets and troubleshooting technical issues with the fundraising platform.</w:t>
      </w:r>
    </w:p>
    <w:p>
      <w:pPr>
        <w:pStyle w:val="ListBullet"/>
      </w:pPr>
      <w:r>
        <w:rPr>
          <w:b w:val="0"/>
          <w:i w:val="0"/>
          <w:strike/>
          <w:color w:val="B40000"/>
          <w:u w:val="none"/>
        </w:rPr>
        <w:t>Created and implemented SOPs to document digital processes and help new staff understand workflows and work more efficiently.</w:t>
      </w:r>
      <w:r>
        <w:t xml:space="preserve"> → </w:t>
      </w:r>
      <w:r>
        <w:rPr>
          <w:b w:val="0"/>
          <w:i w:val="0"/>
          <w:strike w:val="0"/>
          <w:color w:val="007800"/>
          <w:u w:val="single"/>
        </w:rPr>
        <w:t>Developed and implemented SOPs to document digital fundraising processes, onboard new team members, and standardize workflows for greater efficiency across the department.</w:t>
      </w:r>
    </w:p>
    <w:p>
      <w:pPr>
        <w:pStyle w:val="ListBullet"/>
      </w:pPr>
      <w:r>
        <w:rPr>
          <w:b w:val="0"/>
          <w:i w:val="0"/>
          <w:strike w:val="0"/>
          <w:color w:val="007800"/>
          <w:u w:val="single"/>
        </w:rPr>
        <w:t>[NEW] Oversee relationships with external vendors and agencies, manage campaign timelines and creative briefs, and coordinate data requests to ensure digital fundraising projects are delivered on time and within scope.</w:t>
      </w:r>
    </w:p>
    <w:p>
      <w:r>
        <w:rPr>
          <w:b/>
          <w:i w:val="0"/>
          <w:strike w:val="0"/>
          <w:u w:val="none"/>
        </w:rPr>
        <w:t>COORDINATOR: ELECTRONIC GIVING | OTTAWA HUMANE SOCIETY | 2021 – 2022</w:t>
      </w:r>
    </w:p>
    <w:p>
      <w:pPr>
        <w:pStyle w:val="ListBullet"/>
      </w:pPr>
      <w:r>
        <w:rPr>
          <w:b w:val="0"/>
          <w:i w:val="0"/>
          <w:strike w:val="0"/>
          <w:u w:val="none"/>
        </w:rPr>
        <w:t>Processed and verified over $6,000 in online donations weekly, maintaining accuracy and supporting efficient electronic giving operations.</w:t>
      </w:r>
    </w:p>
    <w:p>
      <w:pPr>
        <w:pStyle w:val="ListBullet"/>
      </w:pPr>
      <w:r>
        <w:rPr>
          <w:b w:val="0"/>
          <w:i w:val="0"/>
          <w:strike w:val="0"/>
          <w:u w:val="none"/>
        </w:rPr>
        <w:t>Developed 100+ digital fundraising content pieces and templates to support online giving initiatives while following OHS brand guidelines.</w:t>
      </w:r>
    </w:p>
    <w:p>
      <w:pPr>
        <w:pStyle w:val="ListBullet"/>
      </w:pPr>
      <w:r>
        <w:rPr>
          <w:b w:val="0"/>
          <w:i w:val="0"/>
          <w:strike w:val="0"/>
          <w:u w:val="none"/>
        </w:rPr>
        <w:t>Worked with the communications team to create monthly marketing graphics and digital content using Canva and Photoshop.</w:t>
      </w:r>
    </w:p>
    <w:p>
      <w:r>
        <w:rPr>
          <w:b/>
          <w:i w:val="0"/>
          <w:strike w:val="0"/>
          <w:u w:val="none"/>
        </w:rPr>
        <w:t>SOCIAL MEDIA OFFICER | LILY HU REAL ESTATE - KELLER WILLIAMS INTEGRITY REALTY | 2020 – 2021</w:t>
      </w:r>
    </w:p>
    <w:p>
      <w:pPr>
        <w:pStyle w:val="ListBullet"/>
      </w:pPr>
      <w:r>
        <w:rPr>
          <w:b w:val="0"/>
          <w:i w:val="0"/>
          <w:strike/>
          <w:color w:val="B40000"/>
          <w:u w:val="none"/>
        </w:rPr>
        <w:t>Created bilingual digital content for the company's WeChat channel, including daily property features and monthly Ottawa real estate market updates.</w:t>
      </w:r>
      <w:r>
        <w:t xml:space="preserve"> → </w:t>
      </w:r>
      <w:r>
        <w:rPr>
          <w:b w:val="0"/>
          <w:i w:val="0"/>
          <w:strike w:val="0"/>
          <w:color w:val="007800"/>
          <w:u w:val="single"/>
        </w:rPr>
        <w:t>Created bilingual digital content across social media channels, including the company's WeChat channel, managing daily property features and monthly Ottawa real estate market updates.</w:t>
      </w:r>
    </w:p>
    <w:p>
      <w:pPr>
        <w:pStyle w:val="ListBullet"/>
      </w:pPr>
      <w:r>
        <w:rPr>
          <w:b w:val="0"/>
          <w:i w:val="0"/>
          <w:strike w:val="0"/>
          <w:u w:val="none"/>
        </w:rPr>
        <w:t>Increased WeChat subscribers by 100+ users within two months through consistent content creation and audience engagement.</w:t>
      </w:r>
    </w:p>
    <w:p>
      <w:pPr>
        <w:pStyle w:val="ListBullet"/>
      </w:pPr>
      <w:r>
        <w:rPr>
          <w:b w:val="0"/>
          <w:i w:val="0"/>
          <w:strike w:val="0"/>
          <w:u w:val="none"/>
        </w:rPr>
        <w:t>Created marketing materials, including buyer packages and listing presentations, to support client communications.</w:t>
      </w:r>
    </w:p>
    <w:p>
      <w:r>
        <w:rPr>
          <w:b/>
          <w:i w:val="0"/>
          <w:strike w:val="0"/>
          <w:u w:val="none"/>
        </w:rPr>
        <w:t>GRAPHIC DESIGN AND DEVELOPMENT | BUILDFORCE CANADA | 2020 (5-MONTH INTERNSHIP)</w:t>
      </w:r>
    </w:p>
    <w:p>
      <w:pPr>
        <w:pStyle w:val="ListBullet"/>
      </w:pPr>
      <w:r>
        <w:rPr>
          <w:b w:val="0"/>
          <w:i w:val="0"/>
          <w:strike/>
          <w:color w:val="B40000"/>
          <w:u w:val="none"/>
        </w:rPr>
        <w:t>Edited over 180+ tutorial videos in both English and French using Adobe Premiere Pro and After Effect.</w:t>
      </w:r>
      <w:r>
        <w:t xml:space="preserve"> → </w:t>
      </w:r>
      <w:r>
        <w:rPr>
          <w:b w:val="0"/>
          <w:i w:val="0"/>
          <w:strike w:val="0"/>
          <w:color w:val="007800"/>
          <w:u w:val="single"/>
        </w:rPr>
        <w:t>Edited over 180 tutorial videos in English and French using Adobe Premiere Pro and After Effects.</w:t>
      </w:r>
    </w:p>
    <w:p>
      <w:pPr>
        <w:pStyle w:val="ListBullet"/>
      </w:pPr>
      <w:r>
        <w:rPr>
          <w:b w:val="0"/>
          <w:i w:val="0"/>
          <w:strike/>
          <w:color w:val="B40000"/>
          <w:u w:val="none"/>
        </w:rPr>
        <w:t>Edited audio files in Reaper by importing/exporting, cutting, copying, pasting, adjusting volume.</w:t>
      </w:r>
      <w:r>
        <w:t xml:space="preserve"> → </w:t>
      </w:r>
      <w:r>
        <w:rPr>
          <w:b w:val="0"/>
          <w:i w:val="0"/>
          <w:strike w:val="0"/>
          <w:color w:val="007800"/>
          <w:u w:val="single"/>
        </w:rPr>
        <w:t>Edited audio files in Reaper; managed and organized project assets and documentation.</w:t>
      </w:r>
    </w:p>
    <w:p>
      <w:pPr>
        <w:pStyle w:val="ListBullet"/>
      </w:pPr>
      <w:r>
        <w:rPr>
          <w:b w:val="0"/>
          <w:i w:val="0"/>
          <w:strike/>
          <w:color w:val="B40000"/>
          <w:u w:val="none"/>
        </w:rPr>
        <w:t>Managed and organized the assets and documentations for quick access.</w:t>
      </w:r>
      <w:r>
        <w:t xml:space="preserve"> → </w:t>
      </w:r>
      <w:r>
        <w:rPr>
          <w:b w:val="0"/>
          <w:i w:val="0"/>
          <w:strike w:val="0"/>
          <w:color w:val="007800"/>
          <w:u w:val="single"/>
        </w:rPr>
        <w:t>Managed multiple projects simultaneously under tight deadlines with outstanding results.</w:t>
      </w:r>
    </w:p>
    <w:p>
      <w:pPr>
        <w:pStyle w:val="ListBullet"/>
      </w:pPr>
      <w:r>
        <w:rPr>
          <w:b w:val="0"/>
          <w:i w:val="0"/>
          <w:strike/>
          <w:color w:val="B40000"/>
          <w:u w:val="none"/>
        </w:rPr>
        <w:t>Managed multiple projects simultaneously and worked on tight deadline with outstanding results.</w:t>
      </w:r>
      <w:r>
        <w:t xml:space="preserve"> [merged into above]</w:t>
      </w:r>
    </w:p>
    <w:p>
      <w:pPr>
        <w:pStyle w:val="Heading2"/>
      </w:pPr>
      <w:r>
        <w:t>Education</w:t>
      </w:r>
    </w:p>
    <w:p>
      <w:r>
        <w:rPr>
          <w:b/>
          <w:i w:val="0"/>
          <w:strike w:val="0"/>
          <w:u w:val="none"/>
        </w:rPr>
        <w:t>BACHELOR OF ARTS (HONOURS) – BA FILM AND MEDIA | 2018 | QUEEN'S UNIVERSITY, KINGSTON</w:t>
      </w:r>
    </w:p>
    <w:p>
      <w:r>
        <w:rPr>
          <w:b/>
          <w:i w:val="0"/>
          <w:strike w:val="0"/>
          <w:u w:val="none"/>
        </w:rPr>
        <w:t>DIPLOMA INTERACTIVE MULTIMEDIA DESIGN | 2020 | ALGONQUIN COLLEGE, OTTAWA</w:t>
      </w:r>
    </w:p>
    <w:p>
      <w:pPr>
        <w:pStyle w:val="Heading2"/>
      </w:pPr>
      <w:r>
        <w:t>Licenses &amp; Certifications</w:t>
      </w:r>
    </w:p>
    <w:p>
      <w:r>
        <w:rPr>
          <w:b w:val="0"/>
          <w:i w:val="0"/>
          <w:strike/>
          <w:color w:val="B40000"/>
          <w:u w:val="none"/>
        </w:rPr>
        <w:t>[Empty section — remove or populate]</w:t>
      </w:r>
      <w:r>
        <w:t xml:space="preserve"> → </w:t>
      </w:r>
      <w:r>
        <w:rPr>
          <w:b w:val="0"/>
          <w:i w:val="0"/>
          <w:strike w:val="0"/>
          <w:color w:val="007800"/>
          <w:u w:val="single"/>
        </w:rPr>
        <w:t>Add any relevant certifications here (e.g., Google Analytics, EN Certification, Digital Marketing). If none, delete this section entirely.</w:t>
      </w:r>
    </w:p>
    <w:p>
      <w:pPr>
        <w:pStyle w:val="Heading3"/>
      </w:pPr>
      <w:r>
        <w:t>— CHANGE LEGEND —</w:t>
      </w:r>
    </w:p>
    <w:p>
      <w:r>
        <w:rPr>
          <w:b w:val="0"/>
          <w:i w:val="0"/>
          <w:strike/>
          <w:color w:val="B40000"/>
          <w:u w:val="none"/>
        </w:rPr>
        <w:t xml:space="preserve">Red strikethrough = deleted text  </w:t>
      </w:r>
      <w:r>
        <w:t xml:space="preserve">  |  </w:t>
      </w:r>
      <w:r>
        <w:rPr>
          <w:b w:val="0"/>
          <w:i w:val="0"/>
          <w:strike w:val="0"/>
          <w:color w:val="007800"/>
          <w:u w:val="single"/>
        </w:rPr>
        <w:t>Green underlined = added/replacement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