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and 10,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Lead</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authors; 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38</w:t>
            </w:r>
          </w:p>
        </w:tc>
        <w:tc>
          <w:tcPr>
            <w:tcW w:type="dxa" w:w="1234"/>
          </w:tcPr>
          <w:p>
            <w:r>
              <w:rPr>
                <w:sz w:val="19"/>
              </w:rPr>
            </w:r>
            <w:r>
              <w:rPr>
                <w:sz w:val="19"/>
              </w:rPr>
              <w:t>14 400</w:t>
            </w:r>
          </w:p>
        </w:tc>
        <w:tc>
          <w:tcPr>
            <w:tcW w:type="dxa" w:w="1234"/>
          </w:tcPr>
          <w:p>
            <w:r>
              <w:rPr>
                <w:sz w:val="19"/>
              </w:rPr>
            </w:r>
            <w:r>
              <w:rPr>
                <w:sz w:val="19"/>
              </w:rPr>
              <w:t>26</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38</w:t>
            </w:r>
          </w:p>
        </w:tc>
        <w:tc>
          <w:tcPr>
            <w:tcW w:type="dxa" w:w="1234"/>
          </w:tcPr>
          <w:p>
            <w:r>
              <w:rPr>
                <w:sz w:val="19"/>
              </w:rPr>
            </w:r>
            <w:r>
              <w:rPr>
                <w:sz w:val="19"/>
              </w:rPr>
              <w:t>14 400</w:t>
            </w:r>
          </w:p>
        </w:tc>
        <w:tc>
          <w:tcPr>
            <w:tcW w:type="dxa" w:w="1234"/>
          </w:tcPr>
          <w:p>
            <w:r>
              <w:rPr>
                <w:sz w:val="19"/>
              </w:rPr>
            </w:r>
            <w:r>
              <w:rPr>
                <w:sz w:val="19"/>
              </w:rPr>
              <w:t>26</w:t>
            </w:r>
          </w:p>
        </w:tc>
        <w:tc>
          <w:tcPr>
            <w:tcW w:type="dxa" w:w="1234"/>
          </w:tcPr>
          <w:p>
            <w:r>
              <w:rPr>
                <w:sz w:val="19"/>
              </w:rPr>
            </w:r>
            <w:r>
              <w:rPr>
                <w:sz w:val="19"/>
              </w:rPr>
              <w:t>J. Sopanen's group; I. Petrov</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Sopanen's group</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32</w:t>
            </w:r>
          </w:p>
        </w:tc>
        <w:tc>
          <w:tcPr>
            <w:tcW w:type="dxa" w:w="1234"/>
          </w:tcPr>
          <w:p>
            <w:r>
              <w:rPr>
                <w:sz w:val="19"/>
              </w:rPr>
            </w:r>
            <w:r>
              <w:rPr>
                <w:sz w:val="19"/>
              </w:rPr>
              <w:t>12 300</w:t>
            </w:r>
          </w:p>
        </w:tc>
        <w:tc>
          <w:tcPr>
            <w:tcW w:type="dxa" w:w="1234"/>
          </w:tcPr>
          <w:p>
            <w:r>
              <w:rPr>
                <w:sz w:val="19"/>
              </w:rPr>
            </w:r>
            <w:r>
              <w:rPr>
                <w:sz w:val="19"/>
              </w:rPr>
              <w:t>20</w:t>
            </w:r>
          </w:p>
        </w:tc>
        <w:tc>
          <w:tcPr>
            <w:tcW w:type="dxa" w:w="1234"/>
          </w:tcPr>
          <w:p>
            <w:r>
              <w:rPr>
                <w:sz w:val="19"/>
              </w:rPr>
            </w:r>
            <w:r>
              <w:rPr>
                <w:sz w:val="19"/>
              </w:rPr>
              <w:t>J. Sopanen's group; bearing specialist</w:t>
            </w:r>
          </w:p>
        </w:tc>
      </w:tr>
      <w:tr>
        <w:tc>
          <w:tcPr>
            <w:tcW w:type="dxa" w:w="1234"/>
          </w:tcPr>
          <w:p>
            <w:r>
              <w:rPr>
                <w:sz w:val="19"/>
              </w:rPr>
            </w:r>
            <w:r>
              <w:rPr>
                <w:sz w:val="19"/>
              </w:rPr>
              <w:t>III  Electromagnetic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I. Petrov; 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Losses, cooling and the thermal budget at kilohertz frequencies</w:t>
            </w:r>
          </w:p>
        </w:tc>
        <w:tc>
          <w:tcPr>
            <w:tcW w:type="dxa" w:w="1234"/>
          </w:tcPr>
          <w:p>
            <w:r>
              <w:rPr>
                <w:sz w:val="19"/>
              </w:rPr>
            </w:r>
            <w:r>
              <w:rPr>
                <w:sz w:val="19"/>
              </w:rPr>
              <w:t>44</w:t>
            </w:r>
          </w:p>
        </w:tc>
        <w:tc>
          <w:tcPr>
            <w:tcW w:type="dxa" w:w="1234"/>
          </w:tcPr>
          <w:p>
            <w:r>
              <w:rPr>
                <w:sz w:val="19"/>
              </w:rPr>
            </w:r>
            <w:r>
              <w:rPr>
                <w:sz w:val="19"/>
              </w:rPr>
              <w:t>17 100</w:t>
            </w:r>
          </w:p>
        </w:tc>
        <w:tc>
          <w:tcPr>
            <w:tcW w:type="dxa" w:w="1234"/>
          </w:tcPr>
          <w:p>
            <w:r>
              <w:rPr>
                <w:sz w:val="19"/>
              </w:rPr>
            </w:r>
            <w:r>
              <w:rPr>
                <w:sz w:val="19"/>
              </w:rPr>
              <w:t>28</w:t>
            </w:r>
          </w:p>
        </w:tc>
        <w:tc>
          <w:tcPr>
            <w:tcW w:type="dxa" w:w="1234"/>
          </w:tcPr>
          <w:p>
            <w:r>
              <w:rPr>
                <w:sz w:val="19"/>
              </w:rPr>
            </w:r>
            <w:r>
              <w:rPr>
                <w:sz w:val="19"/>
              </w:rPr>
              <w:t>A. Belahcen; I. Petrov; J. Saari; J. Nerg</w:t>
            </w:r>
          </w:p>
        </w:tc>
      </w:tr>
      <w:tr>
        <w:tc>
          <w:tcPr>
            <w:tcW w:type="dxa" w:w="1234"/>
          </w:tcPr>
          <w:p>
            <w:r>
              <w:rPr>
                <w:sz w:val="19"/>
              </w:rPr>
            </w:r>
            <w:r>
              <w:rPr>
                <w:sz w:val="19"/>
              </w:rPr>
              <w:t>IV  Delivery: the drive and the applications</w:t>
            </w:r>
          </w:p>
        </w:tc>
        <w:tc>
          <w:tcPr>
            <w:tcW w:type="dxa" w:w="1234"/>
          </w:tcPr>
          <w:p>
            <w:r>
              <w:rPr>
                <w:sz w:val="19"/>
              </w:rPr>
            </w:r>
            <w:r>
              <w:rPr>
                <w:sz w:val="19"/>
              </w:rPr>
              <w:t>10</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42</w:t>
            </w:r>
          </w:p>
        </w:tc>
        <w:tc>
          <w:tcPr>
            <w:tcW w:type="dxa" w:w="1234"/>
          </w:tcPr>
          <w:p>
            <w:r>
              <w:rPr>
                <w:sz w:val="19"/>
              </w:rPr>
            </w:r>
            <w:r>
              <w:rPr>
                <w:sz w:val="19"/>
              </w:rPr>
              <w:t>16 200</w:t>
            </w:r>
          </w:p>
        </w:tc>
        <w:tc>
          <w:tcPr>
            <w:tcW w:type="dxa" w:w="1234"/>
          </w:tcPr>
          <w:p>
            <w:r>
              <w:rPr>
                <w:sz w:val="19"/>
              </w:rPr>
            </w:r>
            <w:r>
              <w:rPr>
                <w:sz w:val="19"/>
              </w:rPr>
              <w:t>28</w:t>
            </w:r>
          </w:p>
        </w:tc>
        <w:tc>
          <w:tcPr>
            <w:tcW w:type="dxa" w:w="1234"/>
          </w:tcPr>
          <w:p>
            <w:r>
              <w:rPr>
                <w:sz w:val="19"/>
              </w:rPr>
            </w:r>
            <w:r>
              <w:rPr>
                <w:sz w:val="19"/>
              </w:rPr>
              <w:t>P. Peltoniemi; L. Aarniovuori</w:t>
            </w:r>
          </w:p>
        </w:tc>
      </w:tr>
      <w:tr>
        <w:tc>
          <w:tcPr>
            <w:tcW w:type="dxa" w:w="1234"/>
          </w:tcPr>
          <w:p>
            <w:r>
              <w:rPr>
                <w:sz w:val="19"/>
              </w:rPr>
            </w:r>
          </w:p>
        </w:tc>
        <w:tc>
          <w:tcPr>
            <w:tcW w:type="dxa" w:w="1234"/>
          </w:tcPr>
          <w:p>
            <w:r>
              <w:rPr>
                <w:sz w:val="19"/>
              </w:rPr>
            </w:r>
            <w:r>
              <w:rPr>
                <w:sz w:val="19"/>
              </w:rPr>
              <w:t>11</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 J. Saari; L. Aarniovuori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 aerospace contributor</w:t>
            </w:r>
          </w:p>
        </w:tc>
      </w:tr>
      <w:tr>
        <w:tc>
          <w:tcPr>
            <w:tcW w:type="dxa" w:w="1234"/>
          </w:tcPr>
          <w:p>
            <w:r>
              <w:rPr>
                <w:sz w:val="19"/>
              </w:rPr>
            </w:r>
          </w:p>
        </w:tc>
        <w:tc>
          <w:tcPr>
            <w:tcW w:type="dxa" w:w="1234"/>
          </w:tcPr>
          <w:p>
            <w:r>
              <w:rPr>
                <w:sz w:val="19"/>
              </w:rPr>
            </w:r>
          </w:p>
        </w:tc>
        <w:tc>
          <w:tcPr>
            <w:tcW w:type="dxa" w:w="1234"/>
          </w:tcPr>
          <w:p>
            <w:r>
              <w:rPr>
                <w:sz w:val="19"/>
              </w:rPr>
            </w:r>
            <w:r>
              <w:rPr>
                <w:b/>
                <w:sz w:val="19"/>
              </w:rPr>
              <w:t>Chapters 1–12</w:t>
            </w:r>
          </w:p>
        </w:tc>
        <w:tc>
          <w:tcPr>
            <w:tcW w:type="dxa" w:w="1234"/>
          </w:tcPr>
          <w:p>
            <w:r>
              <w:rPr>
                <w:sz w:val="19"/>
              </w:rPr>
            </w:r>
            <w:r>
              <w:rPr>
                <w:b/>
                <w:sz w:val="19"/>
              </w:rPr>
              <w:t>406</w:t>
            </w:r>
          </w:p>
        </w:tc>
        <w:tc>
          <w:tcPr>
            <w:tcW w:type="dxa" w:w="1234"/>
          </w:tcPr>
          <w:p>
            <w:r>
              <w:rPr>
                <w:sz w:val="19"/>
              </w:rPr>
            </w:r>
            <w:r>
              <w:rPr>
                <w:b/>
                <w:sz w:val="19"/>
              </w:rPr>
              <w:t>156 600</w:t>
            </w:r>
          </w:p>
        </w:tc>
        <w:tc>
          <w:tcPr>
            <w:tcW w:type="dxa" w:w="1234"/>
          </w:tcPr>
          <w:p>
            <w:r>
              <w:rPr>
                <w:sz w:val="19"/>
              </w:rPr>
            </w:r>
            <w:r>
              <w:rPr>
                <w:b/>
                <w:sz w:val="19"/>
              </w:rPr>
              <w:t>259</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446</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losses and loss budget in Chapter 9, their converters in Chapter 10, and are assembled into complete, measured designs in Chapters 11 and 12. Every design chapter therefore ends with the same two worked examples, and the reader can follow one machine through the whole procedure.</w:t>
      </w:r>
    </w:p>
    <w:p>
      <w:pPr>
        <w:jc w:val="both"/>
      </w:pPr>
      <w:r>
        <w:rPr>
          <w:b/>
        </w:rPr>
        <w:t>A closing comparison in every design chapter.</w:t>
      </w:r>
      <w:r>
        <w:t xml:space="preserve"> Chapters 3 to 10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In industry the converter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including heat-pump and hydrogen and cryogenic compression and flywheel storage.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Gearless industrial units: compressors, aeration blowers, ORC and turbo-expanders · 2.3 Subsea and hermetic process machines · 2.4 Electric traction and the geared high-speed optimum · 2.5 Aerospace and hybrid-electric propulsion · 2.6 e-Turbochargers, turbo-compounding and the &gt;100 000 r/min class · 2.7 Emerging drivers: heat pumps, hydrogen and cryogenic compression, flywheels · 2.8 Architecture selection: total cost of ownership against specific power · 2.9 A survey of built machines: calibrating v_tip, n√P and fP · 2.10 The two running machines specified.</w:t>
      </w:r>
    </w:p>
    <w:p>
      <w:pPr>
        <w:jc w:val="both"/>
      </w:pPr>
      <w:r>
        <w:t>Budget: 34 pages, 18 figures, 3 tables. New: the machine survey and the calibrated criteria; the architecture-selection logic. Contributors: J. Saari (industrial machines); LUT turbomachinery group to be approached for the process side.</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38 pages, 26 figures, 2 tables. DREM boundary: topologies are compared only on their high-speed behaviour; their general theory is referenced.</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38 pages, 26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10.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32 pages, 20 figures, 3 tables. Contributors: J. Sopanen's group (bearing-rotor interaction, fluid-film and magnetic bearings); an industrial bearing application specialist to be identified for lubrication, life and seals. DREM boundary: not covered in the earlier book. New: bearing losses and seal windage placed in the high-speed loss budget.</w:t>
      </w:r>
    </w:p>
    <w:p>
      <w:pPr>
        <w:pStyle w:val="Heading3"/>
      </w:pPr>
      <w:r>
        <w:t>Part III — Electromagnetic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10 as the constraint. Air-gap length is set against windage, thermal margin and harmonic content rather than torque density alone. Magnetic and electric loading limits are re-derived for the kilohertz range, and slot and tooth geometry for high-frequency operation. A section on optimisation-based multiphysics sizing shows how the procedure is embedded in a modern coupled workflow. The procedure is summarised as a flowchart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Optimisation-based multiphysics sizing · 7.8 Procedure summary and flowchart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Losses, cooling and the thermal budget at kilohertz frequencies</w:t>
      </w:r>
    </w:p>
    <w:p>
      <w:pPr>
        <w:jc w:val="both"/>
      </w:pPr>
      <w:r>
        <w:t>Loss models fitted below 400 Hz do not extrapolate to 2 kHz, and the air in the gap stops being a passive medium above roughly 100 m/s; this chapter treats every loss mechanism that changes at high speed and the cooling that must remove them.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chapter then turns the thermal problem the right way round for high-speed design: cooling architectures, jackets, in-slot and direct winding cooling, rotor and hollow-shaft cooling, are chosen and lumped-parameter thermal networks built with the air gap as a heat source. Magnet temperature and demagnetisation margin are shown to be the binding thermal constraint in most permanent-magnet high-speed machines. The chapter closes with the loss balance of the two running machines against their thermal budget.</w:t>
      </w:r>
    </w:p>
    <w:p>
      <w:pPr>
        <w:jc w:val="both"/>
      </w:pPr>
      <w:r>
        <w:t>Sections: 9.1 Loss separation above 1 kHz · 9.2 Soft magnetic materials · 9.3 Manufacturing effects · 9.4 Measurement and model fitting · 9.5 Rotor surface and harmonic losses · 9.6 Eddy currents in sleeves, rings and magnets; magnet segmentation · 9.7 Solid-rotor loss modelling · 9.8 Aerodynamic and windage losses: Taylor–Couette flow, correlations, roughness, low-density gas · 9.9 Cooling architectures and thermal networks · 9.10 Magnet temperature and the loss budget of the two running machines.</w:t>
      </w:r>
    </w:p>
    <w:p>
      <w:pPr>
        <w:jc w:val="both"/>
      </w:pPr>
      <w:r>
        <w:t>Budget: 44 pages, 28 figures, 3 tables. Contributors: A. Belahcen (loss modelling, materials, manufacturing effects), I. Petrov (rotor losses), J. Saari (windage), J. Nerg (thermal networks). DREM boundary: the earlier book's loss and thermal chapters cover the conventional frequency range; only the high-speed departures are treated.</w:t>
      </w:r>
    </w:p>
    <w:p>
      <w:pPr>
        <w:pStyle w:val="Heading3"/>
      </w:pPr>
      <w:r>
        <w:t>Part IV — Delivery: the drive and the applications</w:t>
      </w:r>
    </w:p>
    <w:p>
      <w:pPr>
        <w:pStyle w:val="Heading4"/>
      </w:pPr>
      <w:r>
        <w:t>Chapter 10.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thermally isolates.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10.1 Modulation ratio and synchronous PWM · 10.2 Current harmonics and rotor heating · 10.3 Silicon, SiC and GaN: switching-loss economics · 10.4 DC-link voltage, du/dt and filters · 10.5 Insulation under fast switching · 10.6 Bearing currents · 10.7 Converter integration and EMC · 10.8 Control at low pulse ratios · 10.9 Position sensing and sensorless operation · 10.10 Run-up through critical speeds, field weakening, protection · 10.11 Co-design of the two running machines with their converters.</w:t>
      </w:r>
    </w:p>
    <w:p>
      <w:pPr>
        <w:jc w:val="both"/>
      </w:pPr>
      <w:r>
        <w:t>Budget: 42 pages, 28 figures, 2 tables. Contributors: P. Peltoniemi (converter and control), L. Aarniovuori (harmonic losses), with M. Hinkkanen or O. Pyrhönen on control at low pulse ratios. DREM boundary: not covered in the earlier book.</w:t>
      </w:r>
    </w:p>
    <w:p>
      <w:pPr>
        <w:pStyle w:val="Heading4"/>
      </w:pPr>
      <w:r>
        <w:t>Chapter 11.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11.1 The gearless compressor drive: from specification to measured performance · 11.2 The ORC turbogenerator · 11.3 Manufacture and tolerance control · 11.4 Test rig, instrumentation and loss segregation at high speed · 11.5 Qualification against standards · 11.6 Failure modes and design lessons.</w:t>
      </w:r>
    </w:p>
    <w:p>
      <w:pPr>
        <w:jc w:val="both"/>
      </w:pPr>
      <w:r>
        <w:t>Budget: 28 pages, 22 figures, 3 tables. Contributors: authors, J. Saari (compressor case), L. Aarniovuori (loss measurement). New: measured case data.</w:t>
      </w:r>
    </w:p>
    <w:p>
      <w:pPr>
        <w:pStyle w:val="Heading4"/>
      </w:pPr>
      <w:r>
        <w:t>Chapter 12.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11. A closing section revisits the two paradigms with the completed designs in hand and states, with numbers, why the same physics produces opposite machines.</w:t>
      </w:r>
    </w:p>
    <w:p>
      <w:pPr>
        <w:jc w:val="both"/>
      </w:pPr>
      <w:r>
        <w:t>Sections: 12.1 The Voltcar traction machine: from specification to measured performance · 12.2 A high-specific-power aerospace generator · 12.3 An e-turbocharger above 100 000 r/min · 12.4 Testing under drive-cycle and thermal transients · 12.5 Overspeed, thermal and endurance qualification · 12.6 Failure modes and design lessons · 12.7 The two paradigms revisited.</w:t>
      </w:r>
    </w:p>
    <w:p>
      <w:pPr>
        <w:jc w:val="both"/>
      </w:pPr>
      <w:r>
        <w:t>Budget: 30 pages, 24 figures, 3 tables. Contributors: authors (Voltcar), an aerospace contributor to be invited for 12.2.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Contributors</w:t>
      </w:r>
    </w:p>
    <w:p>
      <w:pPr>
        <w:jc w:val="both"/>
      </w:pPr>
      <w:r>
        <w:t>The author line is Canseven, Petrov and Pyrhönen. Contributors are credited at chapter level and each chapter has one of the three authors as owner and editor.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Chapters</w:t>
            </w:r>
          </w:p>
        </w:tc>
        <w:tc>
          <w:tcPr>
            <w:tcW w:type="dxa" w:w="2160"/>
          </w:tcPr>
          <w:p>
            <w:r>
              <w:rPr>
                <w:b/>
                <w:sz w:val="19"/>
              </w:rPr>
            </w:r>
            <w:r>
              <w:rPr>
                <w:b/>
                <w:sz w:val="19"/>
              </w:rPr>
              <w:t>Status</w:t>
            </w:r>
          </w:p>
        </w:tc>
      </w:tr>
      <w:tr>
        <w:tc>
          <w:tcPr>
            <w:tcW w:type="dxa" w:w="2160"/>
          </w:tcPr>
          <w:p>
            <w:r>
              <w:rPr>
                <w:sz w:val="19"/>
              </w:rPr>
            </w:r>
            <w:r>
              <w:rPr>
                <w:sz w:val="19"/>
              </w:rPr>
              <w:t>Jussi Sopanen and group</w:t>
            </w:r>
          </w:p>
        </w:tc>
        <w:tc>
          <w:tcPr>
            <w:tcW w:type="dxa" w:w="2160"/>
          </w:tcPr>
          <w:p>
            <w:r>
              <w:rPr>
                <w:sz w:val="19"/>
              </w:rPr>
            </w:r>
            <w:r>
              <w:rPr>
                <w:sz w:val="19"/>
              </w:rPr>
              <w:t>LUT, machine dynamics</w:t>
            </w:r>
          </w:p>
        </w:tc>
        <w:tc>
          <w:tcPr>
            <w:tcW w:type="dxa" w:w="2160"/>
          </w:tcPr>
          <w:p>
            <w:r>
              <w:rPr>
                <w:sz w:val="19"/>
              </w:rPr>
            </w:r>
            <w:r>
              <w:rPr>
                <w:sz w:val="19"/>
              </w:rPr>
              <w:t>4, 5, 6</w:t>
            </w:r>
          </w:p>
        </w:tc>
        <w:tc>
          <w:tcPr>
            <w:tcW w:type="dxa" w:w="2160"/>
          </w:tcPr>
          <w:p>
            <w:r>
              <w:rPr>
                <w:sz w:val="19"/>
              </w:rPr>
            </w:r>
            <w:r>
              <w:rPr>
                <w:sz w:val="19"/>
              </w:rPr>
              <w:t>agreed in principle</w:t>
            </w:r>
          </w:p>
        </w:tc>
      </w:tr>
      <w:tr>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9 lead, 8 and 5.9 supporting</w:t>
            </w:r>
          </w:p>
        </w:tc>
        <w:tc>
          <w:tcPr>
            <w:tcW w:type="dxa" w:w="2160"/>
          </w:tcPr>
          <w:p>
            <w:r>
              <w:rPr>
                <w:sz w:val="19"/>
              </w:rPr>
            </w:r>
            <w:r>
              <w:rPr>
                <w:sz w:val="19"/>
              </w:rPr>
              <w:t>expected</w:t>
            </w:r>
          </w:p>
        </w:tc>
      </w:tr>
      <w:tr>
        <w:tc>
          <w:tcPr>
            <w:tcW w:type="dxa" w:w="2160"/>
          </w:tcPr>
          <w:p>
            <w:r>
              <w:rPr>
                <w:sz w:val="19"/>
              </w:rPr>
            </w:r>
            <w:r>
              <w:rPr>
                <w:sz w:val="19"/>
              </w:rPr>
              <w:t>Juha Saari</w:t>
            </w:r>
          </w:p>
        </w:tc>
        <w:tc>
          <w:tcPr>
            <w:tcW w:type="dxa" w:w="2160"/>
          </w:tcPr>
          <w:p>
            <w:r>
              <w:rPr>
                <w:sz w:val="19"/>
              </w:rPr>
            </w:r>
            <w:r>
              <w:rPr>
                <w:sz w:val="19"/>
              </w:rPr>
              <w:t>industry</w:t>
            </w:r>
          </w:p>
        </w:tc>
        <w:tc>
          <w:tcPr>
            <w:tcW w:type="dxa" w:w="2160"/>
          </w:tcPr>
          <w:p>
            <w:r>
              <w:rPr>
                <w:sz w:val="19"/>
              </w:rPr>
            </w:r>
            <w:r>
              <w:rPr>
                <w:sz w:val="19"/>
              </w:rPr>
              <w:t>2, 9, 11</w:t>
            </w:r>
          </w:p>
        </w:tc>
        <w:tc>
          <w:tcPr>
            <w:tcW w:type="dxa" w:w="2160"/>
          </w:tcPr>
          <w:p>
            <w:r>
              <w:rPr>
                <w:sz w:val="19"/>
              </w:rPr>
            </w:r>
            <w:r>
              <w:rPr>
                <w:sz w:val="19"/>
              </w:rPr>
              <w:t>to be invited</w:t>
            </w:r>
          </w:p>
        </w:tc>
      </w:tr>
      <w:tr>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10</w:t>
            </w:r>
          </w:p>
        </w:tc>
        <w:tc>
          <w:tcPr>
            <w:tcW w:type="dxa" w:w="2160"/>
          </w:tcPr>
          <w:p>
            <w:r>
              <w:rPr>
                <w:sz w:val="19"/>
              </w:rPr>
            </w:r>
            <w:r>
              <w:rPr>
                <w:sz w:val="19"/>
              </w:rPr>
              <w:t>to be invited</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10, 11</w:t>
            </w:r>
          </w:p>
        </w:tc>
        <w:tc>
          <w:tcPr>
            <w:tcW w:type="dxa" w:w="2160"/>
          </w:tcPr>
          <w:p>
            <w:r>
              <w:rPr>
                <w:sz w:val="19"/>
              </w:rPr>
            </w:r>
            <w:r>
              <w:rPr>
                <w:sz w:val="19"/>
              </w:rPr>
              <w:t>to be invited</w:t>
            </w:r>
          </w:p>
        </w:tc>
      </w:tr>
      <w:tr>
        <w:tc>
          <w:tcPr>
            <w:tcW w:type="dxa" w:w="2160"/>
          </w:tcPr>
          <w:p>
            <w:r>
              <w:rPr>
                <w:sz w:val="19"/>
              </w:rPr>
            </w:r>
            <w:r>
              <w:rPr>
                <w:sz w:val="19"/>
              </w:rPr>
              <w:t>Janne Nerg</w:t>
            </w:r>
          </w:p>
        </w:tc>
        <w:tc>
          <w:tcPr>
            <w:tcW w:type="dxa" w:w="2160"/>
          </w:tcPr>
          <w:p>
            <w:r>
              <w:rPr>
                <w:sz w:val="19"/>
              </w:rPr>
            </w:r>
            <w:r>
              <w:rPr>
                <w:sz w:val="19"/>
              </w:rPr>
              <w:t>LUT, thermal modelling</w:t>
            </w:r>
          </w:p>
        </w:tc>
        <w:tc>
          <w:tcPr>
            <w:tcW w:type="dxa" w:w="2160"/>
          </w:tcPr>
          <w:p>
            <w:r>
              <w:rPr>
                <w:sz w:val="19"/>
              </w:rPr>
            </w:r>
            <w:r>
              <w:rPr>
                <w:sz w:val="19"/>
              </w:rPr>
              <w:t>9</w:t>
            </w:r>
          </w:p>
        </w:tc>
        <w:tc>
          <w:tcPr>
            <w:tcW w:type="dxa" w:w="2160"/>
          </w:tcPr>
          <w:p>
            <w:r>
              <w:rPr>
                <w:sz w:val="19"/>
              </w:rPr>
            </w:r>
            <w:r>
              <w:rPr>
                <w:sz w:val="19"/>
              </w:rPr>
              <w:t>suggested</w:t>
            </w:r>
          </w:p>
        </w:tc>
      </w:tr>
      <w:tr>
        <w:tc>
          <w:tcPr>
            <w:tcW w:type="dxa" w:w="2160"/>
          </w:tcPr>
          <w:p>
            <w:r>
              <w:rPr>
                <w:sz w:val="19"/>
              </w:rPr>
            </w:r>
            <w:r>
              <w:rPr>
                <w:sz w:val="19"/>
              </w:rPr>
              <w:t>bearing application specialist</w:t>
            </w:r>
          </w:p>
        </w:tc>
        <w:tc>
          <w:tcPr>
            <w:tcW w:type="dxa" w:w="2160"/>
          </w:tcPr>
          <w:p>
            <w:r>
              <w:rPr>
                <w:sz w:val="19"/>
              </w:rPr>
            </w:r>
            <w:r>
              <w:rPr>
                <w:sz w:val="19"/>
              </w:rPr>
              <w:t>industry, to be identified</w:t>
            </w:r>
          </w:p>
        </w:tc>
        <w:tc>
          <w:tcPr>
            <w:tcW w:type="dxa" w:w="2160"/>
          </w:tcPr>
          <w:p>
            <w:r>
              <w:rPr>
                <w:sz w:val="19"/>
              </w:rPr>
            </w:r>
            <w:r>
              <w:rPr>
                <w:sz w:val="19"/>
              </w:rPr>
              <w:t>6</w:t>
            </w:r>
          </w:p>
        </w:tc>
        <w:tc>
          <w:tcPr>
            <w:tcW w:type="dxa" w:w="2160"/>
          </w:tcPr>
          <w:p>
            <w:r>
              <w:rPr>
                <w:sz w:val="19"/>
              </w:rPr>
            </w:r>
            <w:r>
              <w:rPr>
                <w:sz w:val="19"/>
              </w:rPr>
              <w:t>open</w:t>
            </w:r>
          </w:p>
        </w:tc>
      </w:tr>
      <w:tr>
        <w:tc>
          <w:tcPr>
            <w:tcW w:type="dxa" w:w="2160"/>
          </w:tcPr>
          <w:p>
            <w:r>
              <w:rPr>
                <w:sz w:val="19"/>
              </w:rPr>
            </w:r>
            <w:r>
              <w:rPr>
                <w:sz w:val="19"/>
              </w:rPr>
              <w:t>Marko Hinkkanen or Olli Pyrhönen</w:t>
            </w:r>
          </w:p>
        </w:tc>
        <w:tc>
          <w:tcPr>
            <w:tcW w:type="dxa" w:w="2160"/>
          </w:tcPr>
          <w:p>
            <w:r>
              <w:rPr>
                <w:sz w:val="19"/>
              </w:rPr>
            </w:r>
            <w:r>
              <w:rPr>
                <w:sz w:val="19"/>
              </w:rPr>
              <w:t>Aalto / LUT, control</w:t>
            </w:r>
          </w:p>
        </w:tc>
        <w:tc>
          <w:tcPr>
            <w:tcW w:type="dxa" w:w="2160"/>
          </w:tcPr>
          <w:p>
            <w:r>
              <w:rPr>
                <w:sz w:val="19"/>
              </w:rPr>
            </w:r>
            <w:r>
              <w:rPr>
                <w:sz w:val="19"/>
              </w:rPr>
              <w:t>10</w:t>
            </w:r>
          </w:p>
        </w:tc>
        <w:tc>
          <w:tcPr>
            <w:tcW w:type="dxa" w:w="2160"/>
          </w:tcPr>
          <w:p>
            <w:r>
              <w:rPr>
                <w:sz w:val="19"/>
              </w:rPr>
            </w:r>
            <w:r>
              <w:rPr>
                <w:sz w:val="19"/>
              </w:rPr>
              <w:t>suggested, one of the two</w:t>
            </w:r>
          </w:p>
        </w:tc>
      </w:tr>
      <w:tr>
        <w:tc>
          <w:tcPr>
            <w:tcW w:type="dxa" w:w="2160"/>
          </w:tcPr>
          <w:p>
            <w:r>
              <w:rPr>
                <w:sz w:val="19"/>
              </w:rPr>
            </w:r>
            <w:r>
              <w:rPr>
                <w:sz w:val="19"/>
              </w:rPr>
              <w:t>aerospace contributor</w:t>
            </w:r>
          </w:p>
        </w:tc>
        <w:tc>
          <w:tcPr>
            <w:tcW w:type="dxa" w:w="2160"/>
          </w:tcPr>
          <w:p>
            <w:r>
              <w:rPr>
                <w:sz w:val="19"/>
              </w:rPr>
            </w:r>
            <w:r>
              <w:rPr>
                <w:sz w:val="19"/>
              </w:rPr>
              <w:t>to be identified</w:t>
            </w:r>
          </w:p>
        </w:tc>
        <w:tc>
          <w:tcPr>
            <w:tcW w:type="dxa" w:w="2160"/>
          </w:tcPr>
          <w:p>
            <w:r>
              <w:rPr>
                <w:sz w:val="19"/>
              </w:rPr>
            </w:r>
            <w:r>
              <w:rPr>
                <w:sz w:val="19"/>
              </w:rPr>
              <w:t>12.2</w:t>
            </w:r>
          </w:p>
        </w:tc>
        <w:tc>
          <w:tcPr>
            <w:tcW w:type="dxa" w:w="2160"/>
          </w:tcPr>
          <w:p>
            <w:r>
              <w:rPr>
                <w:sz w:val="19"/>
              </w:rPr>
            </w:r>
            <w:r>
              <w:rPr>
                <w:sz w:val="19"/>
              </w:rPr>
              <w:t>open</w:t>
            </w:r>
          </w:p>
        </w:tc>
      </w:tr>
    </w:tbl>
    <w:p>
      <w:pPr>
        <w:spacing w:after="120"/>
      </w:pPr>
    </w:p>
    <w:p>
      <w:pPr>
        <w:pStyle w:val="Heading2"/>
      </w:pPr>
      <w:r>
        <w:t>6. Schedule</w:t>
      </w:r>
    </w:p>
    <w:p>
      <w:pPr>
        <w:jc w:val="both"/>
      </w:pPr>
      <w:r>
        <w:t>Indicative, from contract signature: Chapters 2 and 3 with the running-machine specifications at month 6; Part II at month 11; Part III at month 15;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the competing-titles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