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Owner: P. Peltoniemi, who writes the converter sections, 11.1 and 11.3 to 11.7, and recruits the control sections 11.8 to 11.10 and the harmonic-loss section 11.2; L. Aarniovuori is the intended name for the latter.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the compressor case, §12.1, source to be confirmed,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Chapters</w:t>
            </w:r>
          </w:p>
        </w:tc>
        <w:tc>
          <w:tcPr>
            <w:tcW w:type="dxa" w:w="2880"/>
          </w:tcPr>
          <w:p>
            <w:r>
              <w:rPr>
                <w:b/>
                <w:sz w:val="19"/>
              </w:rPr>
            </w:r>
            <w:r>
              <w:rPr>
                <w:b/>
                <w:sz w:val="19"/>
              </w:rPr>
              <w:t>Owner</w:t>
            </w:r>
          </w:p>
        </w:tc>
        <w:tc>
          <w:tcPr>
            <w:tcW w:type="dxa" w:w="2880"/>
          </w:tcPr>
          <w:p>
            <w:r>
              <w:rPr>
                <w:b/>
                <w:sz w:val="19"/>
              </w:rPr>
            </w:r>
            <w:r>
              <w:rPr>
                <w:b/>
                <w:sz w:val="19"/>
              </w:rPr>
              <w:t>Affiliation</w:t>
            </w:r>
          </w:p>
        </w:tc>
      </w:tr>
      <w:tr>
        <w:tc>
          <w:tcPr>
            <w:tcW w:type="dxa" w:w="2880"/>
          </w:tcPr>
          <w:p>
            <w:r>
              <w:rPr>
                <w:sz w:val="19"/>
              </w:rPr>
            </w:r>
            <w:r>
              <w:rPr>
                <w:sz w:val="19"/>
              </w:rPr>
              <w:t>4, 5, 6 — the whole of Part II</w:t>
            </w:r>
          </w:p>
        </w:tc>
        <w:tc>
          <w:tcPr>
            <w:tcW w:type="dxa" w:w="2880"/>
          </w:tcPr>
          <w:p>
            <w:r>
              <w:rPr>
                <w:sz w:val="19"/>
              </w:rPr>
            </w:r>
            <w:r>
              <w:rPr>
                <w:sz w:val="19"/>
              </w:rPr>
              <w:t>Jussi Sopanen</w:t>
            </w:r>
          </w:p>
        </w:tc>
        <w:tc>
          <w:tcPr>
            <w:tcW w:type="dxa" w:w="2880"/>
          </w:tcPr>
          <w:p>
            <w:r>
              <w:rPr>
                <w:sz w:val="19"/>
              </w:rPr>
            </w:r>
            <w:r>
              <w:rPr>
                <w:sz w:val="19"/>
              </w:rPr>
              <w:t>LUT, machine dynamics</w:t>
            </w:r>
          </w:p>
        </w:tc>
      </w:tr>
      <w:tr>
        <w:tc>
          <w:tcPr>
            <w:tcW w:type="dxa" w:w="2880"/>
          </w:tcPr>
          <w:p>
            <w:r>
              <w:rPr>
                <w:sz w:val="19"/>
              </w:rPr>
            </w:r>
            <w:r>
              <w:rPr>
                <w:sz w:val="19"/>
              </w:rPr>
              <w:t>9 — Core, rotor and aerodynamic losses</w:t>
            </w:r>
          </w:p>
        </w:tc>
        <w:tc>
          <w:tcPr>
            <w:tcW w:type="dxa" w:w="2880"/>
          </w:tcPr>
          <w:p>
            <w:r>
              <w:rPr>
                <w:sz w:val="19"/>
              </w:rPr>
            </w:r>
            <w:r>
              <w:rPr>
                <w:sz w:val="19"/>
              </w:rPr>
              <w:t>Anouar Belahcen</w:t>
            </w:r>
          </w:p>
        </w:tc>
        <w:tc>
          <w:tcPr>
            <w:tcW w:type="dxa" w:w="2880"/>
          </w:tcPr>
          <w:p>
            <w:r>
              <w:rPr>
                <w:sz w:val="19"/>
              </w:rPr>
            </w:r>
            <w:r>
              <w:rPr>
                <w:sz w:val="19"/>
              </w:rPr>
              <w:t>Aalto University</w:t>
            </w:r>
          </w:p>
        </w:tc>
      </w:tr>
      <w:tr>
        <w:tc>
          <w:tcPr>
            <w:tcW w:type="dxa" w:w="2880"/>
          </w:tcPr>
          <w:p>
            <w:r>
              <w:rPr>
                <w:sz w:val="19"/>
              </w:rPr>
            </w:r>
            <w:r>
              <w:rPr>
                <w:sz w:val="19"/>
              </w:rPr>
              <w:t>10 — Thermal management and cooling</w:t>
            </w:r>
          </w:p>
        </w:tc>
        <w:tc>
          <w:tcPr>
            <w:tcW w:type="dxa" w:w="2880"/>
          </w:tcPr>
          <w:p>
            <w:r>
              <w:rPr>
                <w:sz w:val="19"/>
              </w:rPr>
            </w:r>
            <w:r>
              <w:rPr>
                <w:sz w:val="19"/>
              </w:rPr>
              <w:t>Rafal Wrobel</w:t>
            </w:r>
          </w:p>
        </w:tc>
        <w:tc>
          <w:tcPr>
            <w:tcW w:type="dxa" w:w="2880"/>
          </w:tcPr>
          <w:p>
            <w:r>
              <w:rPr>
                <w:sz w:val="19"/>
              </w:rPr>
            </w:r>
            <w:r>
              <w:rPr>
                <w:sz w:val="19"/>
              </w:rPr>
              <w:t>Newcastle University</w:t>
            </w:r>
          </w:p>
        </w:tc>
      </w:tr>
      <w:tr>
        <w:tc>
          <w:tcPr>
            <w:tcW w:type="dxa" w:w="2880"/>
          </w:tcPr>
          <w:p>
            <w:r>
              <w:rPr>
                <w:sz w:val="19"/>
              </w:rPr>
            </w:r>
            <w:r>
              <w:rPr>
                <w:sz w:val="19"/>
              </w:rPr>
              <w:t>11 — The drive</w:t>
            </w:r>
          </w:p>
        </w:tc>
        <w:tc>
          <w:tcPr>
            <w:tcW w:type="dxa" w:w="2880"/>
          </w:tcPr>
          <w:p>
            <w:r>
              <w:rPr>
                <w:sz w:val="19"/>
              </w:rPr>
            </w:r>
            <w:r>
              <w:rPr>
                <w:sz w:val="19"/>
              </w:rPr>
              <w:t>Pasi Peltoniemi</w:t>
            </w:r>
          </w:p>
        </w:tc>
        <w:tc>
          <w:tcPr>
            <w:tcW w:type="dxa" w:w="2880"/>
          </w:tcPr>
          <w:p>
            <w:r>
              <w:rPr>
                <w:sz w:val="19"/>
              </w:rPr>
            </w:r>
            <w:r>
              <w:rPr>
                <w:sz w:val="19"/>
              </w:rPr>
              <w:t>LUT, power electronics</w:t>
            </w:r>
          </w:p>
        </w:tc>
      </w:tr>
      <w:tr>
        <w:tc>
          <w:tcPr>
            <w:tcW w:type="dxa" w:w="2880"/>
          </w:tcPr>
          <w:p>
            <w:r>
              <w:rPr>
                <w:sz w:val="19"/>
              </w:rPr>
            </w:r>
            <w:r>
              <w:rPr>
                <w:sz w:val="19"/>
              </w:rPr>
              <w:t>2 — Applications and system architectures</w:t>
            </w:r>
          </w:p>
        </w:tc>
        <w:tc>
          <w:tcPr>
            <w:tcW w:type="dxa" w:w="2880"/>
          </w:tcPr>
          <w:p>
            <w:r>
              <w:rPr>
                <w:sz w:val="19"/>
              </w:rPr>
            </w:r>
            <w:r>
              <w:rPr>
                <w:sz w:val="19"/>
              </w:rPr>
              <w:t>Juha Saari</w:t>
            </w:r>
          </w:p>
        </w:tc>
        <w:tc>
          <w:tcPr>
            <w:tcW w:type="dxa" w:w="2880"/>
          </w:tcPr>
          <w:p>
            <w:r>
              <w:rPr>
                <w:sz w:val="19"/>
              </w:rPr>
            </w:r>
            <w:r>
              <w:rPr>
                <w:sz w:val="19"/>
              </w:rPr>
              <w:t>Upheat, high-temperature heat pumps</w:t>
            </w:r>
          </w:p>
        </w:tc>
      </w:tr>
      <w:tr>
        <w:tc>
          <w:tcPr>
            <w:tcW w:type="dxa" w:w="2880"/>
          </w:tcPr>
          <w:p>
            <w:r>
              <w:rPr>
                <w:sz w:val="19"/>
              </w:rPr>
            </w:r>
            <w:r>
              <w:rPr>
                <w:sz w:val="19"/>
              </w:rPr>
              <w:t>1, 3, 7, 8, 12, 13</w:t>
            </w:r>
          </w:p>
        </w:tc>
        <w:tc>
          <w:tcPr>
            <w:tcW w:type="dxa" w:w="2880"/>
          </w:tcPr>
          <w:p>
            <w:r>
              <w:rPr>
                <w:sz w:val="19"/>
              </w:rPr>
            </w:r>
            <w:r>
              <w:rPr>
                <w:sz w:val="19"/>
              </w:rPr>
              <w:t>the authors</w:t>
            </w:r>
          </w:p>
        </w:tc>
        <w:tc>
          <w:tcPr>
            <w:tcW w:type="dxa" w:w="2880"/>
          </w:tcPr>
          <w:p>
            <w:r>
              <w:rPr>
                <w:sz w:val="19"/>
              </w:rPr>
            </w:r>
            <w:r>
              <w:rPr>
                <w:sz w:val="19"/>
              </w:rPr>
              <w:t>LUT University</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12;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P. Peltoniemi and the authors</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 or 10, the air-gap flow and the aerodynamic optimum</w:t>
            </w:r>
          </w:p>
        </w:tc>
        <w:tc>
          <w:tcPr>
            <w:tcW w:type="dxa" w:w="2160"/>
          </w:tcPr>
          <w:p>
            <w:r>
              <w:rPr>
                <w:sz w:val="19"/>
              </w:rPr>
            </w:r>
            <w:r>
              <w:rPr>
                <w:sz w:val="19"/>
              </w:rPr>
              <w:t>J. Saari or R. Wrobel</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2, 12</w:t>
            </w:r>
          </w:p>
        </w:tc>
        <w:tc>
          <w:tcPr>
            <w:tcW w:type="dxa" w:w="2160"/>
          </w:tcPr>
          <w:p>
            <w:r>
              <w:rPr>
                <w:sz w:val="19"/>
              </w:rPr>
            </w:r>
            <w:r>
              <w:rPr>
                <w:sz w:val="19"/>
              </w:rPr>
              <w:t>J. Saari and the authors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control specialist</w:t>
            </w:r>
          </w:p>
        </w:tc>
        <w:tc>
          <w:tcPr>
            <w:tcW w:type="dxa" w:w="2160"/>
          </w:tcPr>
          <w:p>
            <w:r>
              <w:rPr>
                <w:sz w:val="19"/>
              </w:rPr>
            </w:r>
            <w:r>
              <w:rPr>
                <w:sz w:val="19"/>
              </w:rPr>
              <w:t>to be identified</w:t>
            </w:r>
          </w:p>
        </w:tc>
        <w:tc>
          <w:tcPr>
            <w:tcW w:type="dxa" w:w="2160"/>
          </w:tcPr>
          <w:p>
            <w:r>
              <w:rPr>
                <w:sz w:val="19"/>
              </w:rPr>
            </w:r>
            <w:r>
              <w:rPr>
                <w:sz w:val="19"/>
              </w:rPr>
              <w:t>11</w:t>
            </w:r>
          </w:p>
        </w:tc>
        <w:tc>
          <w:tcPr>
            <w:tcW w:type="dxa" w:w="2160"/>
          </w:tcPr>
          <w:p>
            <w:r>
              <w:rPr>
                <w:sz w:val="19"/>
              </w:rPr>
            </w:r>
            <w:r>
              <w:rPr>
                <w:sz w:val="19"/>
              </w:rPr>
              <w:t>P. Peltoniemi</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13</w:t>
            </w:r>
          </w:p>
        </w:tc>
        <w:tc>
          <w:tcPr>
            <w:tcW w:type="dxa" w:w="2160"/>
          </w:tcPr>
          <w:p>
            <w:r>
              <w:rPr>
                <w:sz w:val="19"/>
              </w:rPr>
            </w:r>
            <w:r>
              <w:rPr>
                <w:sz w:val="19"/>
              </w:rPr>
              <w:t>the authors</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