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t>[Newcastle University letterhead]</w:t>
      </w:r>
    </w:p>
    <w:p>
      <w:pPr>
        <w:jc w:val="both"/>
      </w:pPr>
      <w:r>
        <w:t>[Date]</w:t>
      </w:r>
    </w:p>
    <w:p>
      <w:pPr>
        <w:jc w:val="both"/>
      </w:pPr>
      <w:r>
        <w:t>The Editors</w:t>
      </w:r>
    </w:p>
    <w:p>
      <w:pPr>
        <w:jc w:val="both"/>
      </w:pPr>
      <w:r>
        <w:t>Wiley-IEEE Press</w:t>
      </w:r>
    </w:p>
    <w:p>
      <w:pPr>
        <w:jc w:val="both"/>
      </w:pPr>
      <w:r>
        <w:rPr>
          <w:b/>
        </w:rPr>
        <w:t>Re: Book proposal *High-Speed Electrical Machines and Drives: Design for Industrial and Mobile Applications*, by H. Canseven, I. Petrov and J. Pyrhönen</w:t>
      </w:r>
    </w:p>
    <w:p>
      <w:pPr>
        <w:jc w:val="both"/>
      </w:pPr>
      <w:r>
        <w:t>Dear Editors,</w:t>
      </w:r>
    </w:p>
    <w:p>
      <w:pPr>
        <w:jc w:val="both"/>
      </w:pPr>
      <w:r>
        <w:t>The authors have described this book to me and asked whether I would contribute to its treatment of thermal management. I write to support the proposal and to confirm that I intend to take part.</w:t>
      </w:r>
    </w:p>
    <w:p>
      <w:pPr>
        <w:jc w:val="both"/>
      </w:pPr>
      <w:r>
        <w:t>My work is on the thermal management of electrical machines at high loss density: the heat paths through a winding, in-slot and direct cooling, and the methods, additive manufacturing among them, that make those paths shorter. From that position I recognise the problem this book is built around, and I would put it in the same order the authors do. Cooling is usually treated as something done to a machine after it has been designed: the electromagnetic design fixes the losses, and the thermal engineer is then asked to remove them. At ordinary loss densities that sequence is inefficient but survivable. At the loss densities of high-speed and mass-limited machines it fails, because the cooling architecture is what decides the admissible loss density, which decides the electric loading, which decides the size of the machine. The cooling architecture is therefore a sizing variable, and a book that places it inside the design sequence rather than after it is addressing something real.</w:t>
      </w:r>
    </w:p>
    <w:p>
      <w:pPr>
        <w:jc w:val="both"/>
      </w:pPr>
      <w:r>
        <w:t xml:space="preserve">There is a gap in the literature that matches this. There is a substantial body of work on thermal </w:t>
      </w:r>
      <w:r>
        <w:rPr>
          <w:i/>
        </w:rPr>
        <w:t>analysis</w:t>
      </w:r>
      <w:r>
        <w:t xml:space="preserve">, that is, on predicting the temperatures of a machine that already exists, and it is well served by both papers and software. There is very little on thermal </w:t>
      </w:r>
      <w:r>
        <w:rPr>
          <w:i/>
        </w:rPr>
        <w:t>design</w:t>
      </w:r>
      <w:r>
        <w:t>: on choosing between a water jacket, in-slot cooling and direct winding cooling as design options, with the loss density each can sustain and what each costs in manufacturability. An engineer looking for that has nothing to consult, and the chapter proposed here would be the first treatment I know of that sets the architectures out as choices rather than as individual case studies.</w:t>
      </w:r>
    </w:p>
    <w:p>
      <w:pPr>
        <w:jc w:val="both"/>
      </w:pPr>
      <w:r>
        <w:t>The rotor is a second gap, and the book is right to give it weight. Almost all published machine thermal work is stator-side, whereas in a high-speed permanent-magnet machine the binding constraint is usually the magnet temperature, reached along a path that runs through a retaining sleeve which the mechanical design requires and which is also a thermal insulator. There is little design guidance in print on that path.</w:t>
      </w:r>
    </w:p>
    <w:p>
      <w:pPr>
        <w:jc w:val="both"/>
      </w:pPr>
      <w:r>
        <w:t>Subject to the publishing contract, I intend to write the chapter on thermal management and cooling: the heat paths and thermal resistances of the winding, the stator cooling architectures from water jackets through in-slot to direct winding cooling, rotor cooling including the retaining sleeve as a thermal barrier, thermal networks and their calibration, transient behaviour under drive cycles, and the magnet temperature that usually turns out to be the binding constraint. I would write it with co-authors of my own choosing where a section calls for a specialism outside my own, and I would answer for the coherence of the chapter as a whole. I have worked on [the thermal management of electrical machines] for [number] years at [institutions], including [the projects to be named here], and would bring that work to the book.</w:t>
      </w:r>
    </w:p>
    <w:p>
      <w:pPr>
        <w:jc w:val="both"/>
      </w:pPr>
      <w:r>
        <w:t>Yours sincerely,</w:t>
      </w:r>
    </w:p>
    <w:p>
      <w:pPr>
        <w:jc w:val="both"/>
      </w:pPr>
      <w:r>
        <w:t>[signature]</w:t>
      </w:r>
    </w:p>
    <w:p>
      <w:pPr>
        <w:jc w:val="both"/>
      </w:pPr>
      <w:r>
        <w:t>Prof. Rafal Wrobel</w:t>
      </w:r>
    </w:p>
    <w:p>
      <w:pPr>
        <w:jc w:val="both"/>
      </w:pPr>
      <w:r>
        <w:t>[Position, School], Newcastle University</w:t>
      </w:r>
    </w:p>
    <w:p>
      <w:pPr>
        <w:jc w:val="both"/>
      </w:pPr>
      <w:r>
        <w:t>[email address]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mbria" w:hAnsi="Cambria"/>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of support - R. Wrobel</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