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[Aalto University letterhead]</w:t>
      </w:r>
    </w:p>
    <w:p>
      <w:pPr>
        <w:jc w:val="both"/>
      </w:pPr>
      <w:r>
        <w:t>[Date]</w:t>
      </w:r>
    </w:p>
    <w:p>
      <w:pPr>
        <w:jc w:val="both"/>
      </w:pPr>
      <w:r>
        <w:t>The Editors</w:t>
      </w:r>
    </w:p>
    <w:p>
      <w:pPr>
        <w:jc w:val="both"/>
      </w:pPr>
      <w:r>
        <w:t>Wiley-IEEE Press</w:t>
      </w:r>
    </w:p>
    <w:p>
      <w:pPr>
        <w:jc w:val="both"/>
      </w:pPr>
      <w:r>
        <w:rPr>
          <w:b/>
        </w:rPr>
        <w:t>Re: Book proposal *High-Speed Electrical Machines and Drives: Design for Industrial and Mobile Applications*, by H. Canseven, I. Petrov and J. Pyrhönen</w:t>
      </w:r>
    </w:p>
    <w:p>
      <w:pPr>
        <w:jc w:val="both"/>
      </w:pPr>
      <w:r>
        <w:t>Dear Editors,</w:t>
      </w:r>
    </w:p>
    <w:p>
      <w:pPr>
        <w:jc w:val="both"/>
      </w:pPr>
      <w:r>
        <w:t>The authors have described this book to me and asked whether I would contribute its chapter on control at high fundamental frequency. I write to support the proposal and to confirm that I intend to take part.</w:t>
      </w:r>
    </w:p>
    <w:p>
      <w:pPr>
        <w:jc w:val="both"/>
      </w:pPr>
      <w:r>
        <w:t>My field is the control of electric drives: current control, observers, and sensorless operation of synchronous and reluctance machines. What persuades me that this book is worth writing is a limit that the control literature rarely states. Almost all of that literature is developed on the assumption that the switching frequency lies far above the fundamental, so that the converter can be treated as a continuous voltage source and the controller designed by continuous-time methods. In a high-speed drive that assumption fails. When the fundamental frequency is one or two kilohertz and the switching frequency is whatever a practical device can sustain, there may be only nine or eleven pulses in a fundamental period. The computational and modulation delays then occupy a substantial fraction of that period, the discrete-time nature of the controller ceases to be a detail of the implementation, and the achievable current-control bandwidth becomes a constraint on the machine rather than a property of the controller.</w:t>
      </w:r>
    </w:p>
    <w:p>
      <w:pPr>
        <w:jc w:val="both"/>
      </w:pPr>
      <w:r>
        <w:t>That has a consequence which belongs in a design book rather than in a control paper. The control system, like the converter, reaches back into the machine design: the pole number and the fundamental frequency that an electromagnetic designer would like are bounded by what can be regulated stably, and that bound is seldom communicated to the person choosing the pole number. This book proposes to make it explicit, in a chapter that follows directly from the one on the converter, so that the two are read together.</w:t>
      </w:r>
    </w:p>
    <w:p>
      <w:pPr>
        <w:jc w:val="both"/>
      </w:pPr>
      <w:r>
        <w:t>There is a second point. Sensorless methods, and control methods generally, are usually presented and demonstrated at fundamental frequencies well below those of high-speed machines, and whether a given method survives at a pulse ratio of nine or eleven is left to the reader to find out. A text that states the conditions under which each method remains valid would save a good deal of wasted effort.</w:t>
      </w:r>
    </w:p>
    <w:p>
      <w:pPr>
        <w:jc w:val="both"/>
      </w:pPr>
      <w:r>
        <w:t>Subject to the publishing contract, I intend to take responsibility for the chapter on control at high fundamental frequency, together with [name], a postdoctoral researcher in my group: current regulation, overmodulation and six-step operation at low pulse ratios; position sensing and sensorless operation at high fundamental frequency; and run-up through the critical speeds, field weakening and protection. I have worked on [the control of electric drives] for [number] years, including [the work to be named here], and would draw on colleagues at Aalto University where the chapter calls for it.</w:t>
      </w:r>
    </w:p>
    <w:p>
      <w:pPr>
        <w:jc w:val="both"/>
      </w:pPr>
      <w:r>
        <w:t>Yours sincerely,</w:t>
      </w:r>
    </w:p>
    <w:p>
      <w:pPr>
        <w:jc w:val="both"/>
      </w:pPr>
      <w:r>
        <w:t>[signature]</w:t>
      </w:r>
    </w:p>
    <w:p>
      <w:pPr>
        <w:jc w:val="both"/>
      </w:pPr>
      <w:r>
        <w:t>Prof. Marko Hinkkanen</w:t>
      </w:r>
    </w:p>
    <w:p>
      <w:pPr>
        <w:jc w:val="both"/>
      </w:pPr>
      <w:r>
        <w:t>[Position], Department of Electrical Engineering and Automation, Aalto University</w:t>
      </w:r>
    </w:p>
    <w:p>
      <w:pPr>
        <w:jc w:val="both"/>
      </w:pPr>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M. Hinkkanen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