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speed of a high-speed machine is not merely a mechanical value in r/min;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commentRangeStart w:id="0"/>
      <w:r w:rsidRPr="000E711F">
        <w:rPr>
          <w:rFonts w:ascii="Times New Roman" w:hAnsi="Times New Roman" w:cs="Times New Roman"/>
          <w:lang w:val="en-GB"/>
        </w:rPr>
        <w:t xml:space="preserve">Defining "high speed"</w:t>
      </w:r>
      <w:commentRangeEnd w:id="0"/>
      <w:r w:rsidR="00A17807" w:rsidRPr="000E711F">
        <w:rPr>
          <w:rStyle w:val="CommentReference"/>
          <w:rFonts w:ascii="Times New Roman" w:hAnsi="Times New Roman" w:cs="Times New Roman"/>
          <w:sz w:val="28"/>
          <w:szCs w:val="28"/>
          <w:lang w:val="en-GB"/>
        </w:rPr>
        <w:commentReference w:id="0"/>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keepNext/>
        <w:jc w:val="both"/>
        <w:rPr>
          <w:rFonts w:ascii="Times New Roman" w:hAnsi="Times New Roman" w:cs="Times New Roman"/>
          <w:b/>
          <w:bCs/>
          <w:sz w:val="22"/>
          <w:szCs w:val="22"/>
          <w:lang w:val="en-GB"/>
        </w:rPr>
      </w:pPr>
      <w:r w:rsidRPr="000E711F">
        <w:rPr>
          <w:rFonts w:ascii="Times New Roman" w:hAnsi="Times New Roman" w:cs="Times New Roman"/>
          <w:b/>
          <w:bCs/>
          <w:lang w:val="en-GB"/>
        </w:rPr>
        <w:t xml:space="preserve">Different definitions of high speed</w:t>
      </w:r>
      <w:r w:rsidR="002F2E18"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commentRangeStart w:id="2"/>
      <w:r w:rsidRPr="000E711F">
        <w:rPr>
          <w:rFonts w:ascii="Times New Roman" w:hAnsi="Times New Roman" w:cs="Times New Roman"/>
          <w:color w:val="000000"/>
          <w:lang w:val="en-GB"/>
        </w:rPr>
        <w:t>(El Hajji et al., 2024)</w:t>
      </w:r>
      <w:commentRangeEnd w:id="2"/>
      <w:r w:rsidR="00F740F9" w:rsidRPr="000E711F">
        <w:rPr>
          <w:rStyle w:val="CommentReference"/>
          <w:rFonts w:ascii="Times New Roman" w:hAnsi="Times New Roman" w:cs="Times New Roman"/>
          <w:sz w:val="22"/>
          <w:szCs w:val="22"/>
          <w:lang w:val="en-GB"/>
        </w:rPr>
        <w:commentReference w:id="2"/>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commentRangeStart w:id="3"/>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commentRangeEnd w:id="3"/>
      <w:r w:rsidR="005D26B4" w:rsidRPr="000E711F">
        <w:rPr>
          <w:rStyle w:val="CommentReference"/>
          <w:rFonts w:ascii="Times New Roman" w:hAnsi="Times New Roman" w:cs="Times New Roman"/>
          <w:sz w:val="22"/>
          <w:szCs w:val="22"/>
          <w:lang w:val="en-GB"/>
        </w:rPr>
        <w:commentReference w:id="3"/>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commentRangeStart w:id="4"/>
      <w:r w:rsidR="009C50E6">
        <w:rPr>
          <w:rFonts w:ascii="Times New Roman" w:hAnsi="Times New Roman" w:cs="Times New Roman"/>
          <w:lang w:val="en-GB"/>
        </w:rPr>
        <w:t xml:space="preserve">Armengaud et al., 2025</w:t>
      </w:r>
      <w:r w:rsidR="0024361B">
        <w:rPr>
          <w:rFonts w:ascii="Times New Roman" w:hAnsi="Times New Roman" w:cs="Times New Roman"/>
          <w:lang w:val="en-GB"/>
        </w:rPr>
        <w:t xml:space="preserve"/>
      </w:r>
      <w:commentRangeEnd w:id="4"/>
      <w:r w:rsidR="0024361B">
        <w:rPr>
          <w:rStyle w:val="CommentReference"/>
          <w:rFonts w:ascii="Times New Roman" w:hAnsi="Times New Roman" w:cs="Times New Roman"/>
          <w:sz w:val="22"/>
          <w:szCs w:val="22"/>
          <w:lang w:val="en-GB"/>
        </w:rPr>
        <w:commentReference w:id="4"/>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 xml:space="preserve">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commentRangeStart w:id="5"/>
      <w:r w:rsidRPr="000E711F">
        <w:rPr>
          <w:rFonts w:ascii="Times New Roman" w:hAnsi="Times New Roman" w:cs="Times New Roman"/>
          <w:noProof/>
          <w:lang w:val="en-GB"/>
        </w:rPr>
        <w:lastRenderedPageBreak/>
        <w:drawing>
          <wp:inline distT="0" distB="0" distL="0" distR="0" wp14:anchorId="7AD894E6" wp14:editId="0B319140">
            <wp:extent cx="5731510" cy="6030280"/>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030280"/>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0B6A16" w:rsidRPr="000E711F">
        <w:rPr>
          <w:rStyle w:val="CommentReference"/>
          <w:rFonts w:ascii="Times New Roman" w:hAnsi="Times New Roman" w:cs="Times New Roman"/>
          <w:sz w:val="22"/>
          <w:szCs w:val="22"/>
          <w:lang w:val="en-GB"/>
        </w:rPr>
        <w:commentReference w:id="5"/>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(AMBs), and the gearbox, couplings and oil system disappear.</w:t>
      </w:r>
      <w:r w:rsidRPr="000E711F">
        <w:rPr>
          <w:rFonts w:ascii="Times New Roman" w:hAnsi="Times New Roman" w:cs="Times New Roman"/>
          <w:lang w:val="en-GB"/>
        </w:rPr>
        <w:t xml:space="preserve">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14:paraId="73D02B18" w14:textId="630C7E20" w:rsidR="009F1B51" w:rsidRPr="000E711F" w:rsidRDefault="009F1B51" w:rsidP="00945133">
      <w:pPr>
        <w:keepNext/>
        <w:jc w:val="both"/>
        <w:rPr>
          <w:rFonts w:ascii="Times New Roman" w:hAnsi="Times New Roman" w:cs="Times New Roman"/>
          <w:b/>
          <w:bCs/>
          <w:lang w:val="en-GB"/>
        </w:rPr>
      </w:pPr>
      <w:commentRangeStart w:id="6"/>
      <w:r w:rsidRPr="000E711F">
        <w:rPr>
          <w:rFonts w:ascii="Times New Roman" w:hAnsi="Times New Roman" w:cs="Times New Roman"/>
          <w:b/>
          <w:bCs/>
          <w:lang w:val="en-GB"/>
        </w:rPr>
        <w:t xml:space="preserve">The integrated high-speed unit: a leap in performance</w:t>
      </w:r>
      <w:commentRangeEnd w:id="6"/>
      <w:r w:rsidR="004C37D9" w:rsidRPr="000E711F">
        <w:rPr>
          <w:rStyle w:val="CommentReference"/>
          <w:rFonts w:ascii="Times New Roman" w:hAnsi="Times New Roman" w:cs="Times New Roman"/>
          <w:b/>
          <w:bCs/>
          <w:sz w:val="22"/>
          <w:szCs w:val="22"/>
          <w:lang w:val="en-GB"/>
        </w:rPr>
        <w:commentReference w:id="6"/>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pPr>
        <w:pStyle w:val="Heading2"/>
        <w:jc w:val="both"/>
      </w:pPr>
      <w:r>
        <w:rPr>
          <w:rFonts w:ascii="Times New Roman" w:hAnsi="Times New Roman" w:cs="Times New Roman"/>
          <w:lang w:val="en-GB"/>
        </w:rPr>
        <w:t xml:space="preserve">1.2 The two paradigms: industrial and mobile</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drivers of direct 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Two-pole induction machines (IM)</w:t>
      </w:r>
      <w:r w:rsidR="00E53655" w:rsidRPr="000E711F">
        <w:rPr>
          <w:rFonts w:ascii="Times New Roman" w:hAnsi="Times New Roman" w:cs="Times New Roman"/>
          <w:b/>
          <w:bCs/>
          <w:lang w:val="en-GB"/>
        </w:rPr>
        <w:t xml:space="preserve"/>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rotor-surface-magnet PMSMs</w:t>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commentRangeStart w:id="7"/>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commentRangeEnd w:id="7"/>
      <w:r w:rsidR="00DE497E">
        <w:rPr>
          <w:rStyle w:val="CommentReference"/>
          <w:rFonts w:ascii="Times New Roman" w:hAnsi="Times New Roman" w:cs="Times New Roman"/>
          <w:sz w:val="22"/>
          <w:szCs w:val="22"/>
          <w:lang w:val="en-GB"/>
        </w:rPr>
        <w:commentReference w:id="7"/>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commentRangeStart w:id="8"/>
      <w:r w:rsidRPr="000E711F">
        <w:rPr>
          <w:rFonts w:ascii="Times New Roman" w:hAnsi="Times New Roman" w:cs="Times New Roman"/>
          <w:lang w:val="en-GB"/>
        </w:rPr>
        <w:t>.</w:t>
      </w:r>
      <w:commentRangeEnd w:id="8"/>
      <w:r w:rsidR="00E56949" w:rsidRPr="000E711F">
        <w:rPr>
          <w:rStyle w:val="CommentReference"/>
          <w:rFonts w:ascii="Times New Roman" w:hAnsi="Times New Roman" w:cs="Times New Roman"/>
          <w:sz w:val="22"/>
          <w:szCs w:val="22"/>
          <w:lang w:val="en-GB"/>
        </w:rPr>
        <w:commentReference w:id="8"/>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commentRangeStart w:id="9"/>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commentRangeEnd w:id="9"/>
      <w:r w:rsidR="0028599E" w:rsidRPr="000E711F">
        <w:rPr>
          <w:rStyle w:val="CommentReference"/>
          <w:rFonts w:ascii="Times New Roman" w:hAnsi="Times New Roman" w:cs="Times New Roman"/>
          <w:sz w:val="22"/>
          <w:szCs w:val="22"/>
          <w:lang w:val="en-GB"/>
        </w:rPr>
        <w:commentReference w:id="9"/>
      </w:r>
    </w:p>
    <w:p w14:paraId="2D8951D5"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commentRangeStart w:id="10"/>
      <w:r w:rsidR="00F816CB">
        <w:rPr>
          <w:rFonts w:ascii="Times New Roman" w:hAnsi="Times New Roman" w:cs="Times New Roman"/>
          <w:lang w:val="en-GB"/>
        </w:rPr>
        <w:t xml:space="preserve">(Canseven et al., 2024</w:t>
      </w:r>
      <w:r w:rsidRPr="000E711F">
        <w:rPr>
          <w:rFonts w:ascii="Times New Roman" w:hAnsi="Times New Roman" w:cs="Times New Roman"/>
          <w:lang w:val="en-GB"/>
        </w:rPr>
        <w:t xml:space="preserve"/>
      </w:r>
      <w:r w:rsidR="00F816CB">
        <w:rPr>
          <w:rFonts w:ascii="Times New Roman" w:hAnsi="Times New Roman" w:cs="Times New Roman"/>
          <w:lang w:val="en-GB"/>
        </w:rPr>
        <w:t xml:space="preserve">)</w:t>
      </w:r>
      <w:commentRangeEnd w:id="10"/>
      <w:r w:rsidR="00F816CB" w:rsidRPr="000E711F">
        <w:rPr>
          <w:rStyle w:val="CommentReference"/>
          <w:rFonts w:ascii="Times New Roman" w:hAnsi="Times New Roman" w:cs="Times New Roman"/>
          <w:sz w:val="22"/>
          <w:szCs w:val="22"/>
          <w:lang w:val="en-GB"/>
        </w:rPr>
        <w:commentReference w:id="10"/>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commentRangeStart w:id="11"/>
      <w:r w:rsidR="00D560EB" w:rsidRPr="000E711F">
        <w:rPr>
          <w:rFonts w:ascii="Times New Roman" w:hAnsi="Times New Roman" w:cs="Times New Roman"/>
          <w:lang w:val="en-GB"/>
        </w:rPr>
        <w:t>The factor of two is exact for a thin disc</w:t>
      </w:r>
      <w:commentRangeEnd w:id="11"/>
      <w:r w:rsidR="00D835BD" w:rsidRPr="000E711F">
        <w:rPr>
          <w:rStyle w:val="CommentReference"/>
          <w:rFonts w:ascii="Times New Roman" w:hAnsi="Times New Roman" w:cs="Times New Roman"/>
          <w:sz w:val="22"/>
          <w:szCs w:val="22"/>
          <w:lang w:val="en-GB"/>
        </w:rPr>
        <w:commentReference w:id="11"/>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3294094"/>
            <wp:effectExtent l="0" t="0" r="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The rotor is drawn to scale above the mode shapes, on the same axial scale; the vertical lines mark its radial AM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4094"/>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r w:rsidR="00930771" w:rsidRPr="000E711F">
        <w:rPr>
          <w:rFonts w:ascii="Times New Roman" w:hAnsi="Times New Roman" w:cs="Times New Roman"/>
          <w:lang w:val="en-GB"/>
        </w:rPr>
        <w:t xml:space="preserve"> The rotor is drawn to scale above the mode shapes, on the same axial scale; the vertical lines mark its radial AMBs.</w:t>
      </w:r>
    </w:p>
    <w:p w14:paraId="47F30595" w14:textId="44A140B1" w:rsidR="000E45D5" w:rsidRPr="000E711F" w:rsidRDefault="000E45D5" w:rsidP="00945133">
      <w:pPr>
        <w:keepNext/>
        <w:jc w:val="both"/>
        <w:rPr>
          <w:rFonts w:ascii="Times New Roman" w:hAnsi="Times New Roman" w:cs="Times New Roman"/>
          <w:b/>
          <w:bCs/>
          <w:lang w:val="en-GB"/>
        </w:rPr>
      </w:pPr>
      <w:commentRangeStart w:id="12"/>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commentRangeEnd w:id="12"/>
      <w:r w:rsidR="0088122D" w:rsidRPr="000E711F">
        <w:rPr>
          <w:rStyle w:val="CommentReference"/>
          <w:rFonts w:ascii="Times New Roman" w:hAnsi="Times New Roman" w:cs="Times New Roman"/>
          <w:b/>
          <w:bCs/>
          <w:sz w:val="22"/>
          <w:szCs w:val="22"/>
          <w:lang w:val="en-GB"/>
        </w:rPr>
        <w:commentReference w:id="12"/>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commentRangeStart w:id="13"/>
      <w:r w:rsidR="006F4B7D">
        <w:rPr>
          <w:rFonts w:ascii="Times New Roman" w:hAnsi="Times New Roman" w:cs="Times New Roman"/>
          <w:lang w:val="en-GB"/>
        </w:rPr>
        <w:t>(</w:t>
      </w:r>
      <w:r w:rsidR="00D32D40">
        <w:rPr>
          <w:rFonts w:ascii="Times New Roman" w:hAnsi="Times New Roman" w:cs="Times New Roman"/>
          <w:lang w:val="en-GB"/>
        </w:rPr>
        <w:t xml:space="preserve">Lipo, 2017)</w:t>
      </w:r>
      <w:commentRangeEnd w:id="13"/>
      <w:r w:rsidR="00D32D40" w:rsidRPr="000E711F">
        <w:rPr>
          <w:rStyle w:val="CommentReference"/>
          <w:rFonts w:ascii="Times New Roman" w:hAnsi="Times New Roman" w:cs="Times New Roman"/>
          <w:sz w:val="22"/>
          <w:szCs w:val="22"/>
          <w:lang w:val="en-GB"/>
        </w:rPr>
        <w:commentReference w:id="13"/>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commentRangeStart w:id="14"/>
      <w:r w:rsidR="0037271A">
        <w:rPr>
          <w:rFonts w:ascii="Times New Roman" w:hAnsi="Times New Roman" w:cs="Times New Roman"/>
          <w:lang w:val="en-GB"/>
        </w:rPr>
        <w:t xml:space="preserve">(Pyrhönen et al., 2013)</w:t>
      </w:r>
      <w:commentRangeEnd w:id="14"/>
      <w:r w:rsidR="0037271A" w:rsidRPr="000E711F">
        <w:rPr>
          <w:rStyle w:val="CommentReference"/>
          <w:rFonts w:ascii="Times New Roman" w:hAnsi="Times New Roman" w:cs="Times New Roman"/>
          <w:sz w:val="22"/>
          <w:szCs w:val="22"/>
          <w:lang w:val="en-GB"/>
        </w:rPr>
        <w:commentReference w:id="14"/>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 xml:space="preserve">scaling: the </w:t>
      </w:r>
      <w:r w:rsidRPr="000E711F">
        <w:rPr>
          <w:rFonts w:ascii="Times New Roman" w:hAnsi="Times New Roman" w:cs="Times New Roman"/>
          <w:lang w:val="en-GB"/>
        </w:rPr>
        <w:t xml:space="preserve"/>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efficiency</w:t>
      </w:r>
      <w:r w:rsidR="00175683"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square-cube</w:t>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4457164"/>
            <wp:effectExtent l="0" t="0" r="0" b="0"/>
            <wp:docPr id="710352468" name="Picture 4" descr="The high-speed trilemma. Mechanical integrity, electromagnetic efficiency and thermal management pull against one another around the cycle, each remedy creating the next problem, and feasible high-speed designs occupy the compromise window at the centre. As Section 1.6.1 notes, the power electronic interface acts as the gatekeeper that decides which part of that window can be reached at all. Within the window the power electronics stands as a gate between the two paradigms, shown at 30 000 r/min: above it the two-pole industrial machine at 500 Hz, which silicon IGBTs can supply, and below it the six-pole mobile machine at 1500 Hz, which needs SiC or 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4457164"/>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around the cycle, each remedy creating the next problem, and feasible high-speed designs occupy the compromise window at the centre. As Section 1.6.1 notes, the power electronic interface acts as the gatekeeper that decides which part of that window can be reached at all.</w:t>
      </w:r>
      <w:r w:rsidRPr="000E711F">
        <w:rPr>
          <w:rFonts w:ascii="Times New Roman" w:hAnsi="Times New Roman" w:cs="Times New Roman"/>
          <w:lang w:val="en-GB"/>
        </w:rPr>
        <w:t xml:space="preserve"> Within the window the power electronics stands as a gate between the two paradigms, shown at 30 000 r/min: above it the two-pole industrial machine at 500 Hz, which silicon IGBTs can supply, and below it the six-pole mobile machine at 1500 Hz, which needs SiC or GaN.</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commentRangeStart w:id="15"/>
      <w:r w:rsidRPr="000E711F">
        <w:rPr>
          <w:rFonts w:ascii="Times New Roman" w:hAnsi="Times New Roman" w:cs="Times New Roman"/>
          <w:lang w:val="en-GB"/>
        </w:rPr>
        <w:t>The high-speed trilemma</w:t>
      </w:r>
      <w:commentRangeEnd w:id="15"/>
      <w:r w:rsidR="00FF58ED" w:rsidRPr="000E711F">
        <w:rPr>
          <w:rStyle w:val="CommentReference"/>
          <w:rFonts w:ascii="Times New Roman" w:hAnsi="Times New Roman" w:cs="Times New Roman"/>
          <w:sz w:val="28"/>
          <w:szCs w:val="28"/>
          <w:lang w:val="en-GB"/>
        </w:rPr>
        <w:commentReference w:id="15"/>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pPr>
        <w:pStyle w:val="Heading2"/>
        <w:jc w:val="both"/>
      </w:pPr>
      <w:r>
        <w:rPr>
          <w:rFonts w:ascii="Times New Roman" w:hAnsi="Times New Roman" w:cs="Times New Roman"/>
          <w:lang w:val="en-GB"/>
        </w:rPr>
        <w:t xml:space="preserve">References</w:t>
      </w:r>
    </w:p>
    <w:p>
      <w:pPr>
        <w:spacing w:after="80" w:line="259" w:lineRule="auto"/>
        <w:ind w:left="360" w:hanging="360"/>
        <w:jc w:val="left"/>
      </w:pPr>
      <w:r>
        <w:rPr>
          <w:rFonts w:ascii="Times New Roman" w:hAnsi="Times New Roman" w:cs="Times New Roman"/>
          <w:lang w:val="en-GB"/>
        </w:rPr>
        <w:t xml:space="preserve">Armengaud, E., Ratz, F., Muñiz, Á., Poza, J., Garramiola, F., Almandoz, G., … Montonen, J. (2025). European initiatives addressing high efficiency and low-cost electric motors for circularity and low use of rare resources. </w:t>
      </w:r>
      <w:r>
        <w:rPr>
          <w:rFonts w:ascii="Times New Roman" w:hAnsi="Times New Roman" w:cs="Times New Roman"/>
          <w:i/>
          <w:iCs/>
          <w:lang w:val="en-GB"/>
        </w:rPr>
        <w:t xml:space="preserve">SAE International Journal of Advances and Current Practices in Mobility, 7</w:t>
      </w:r>
      <w:r>
        <w:rPr>
          <w:rFonts w:ascii="Times New Roman" w:hAnsi="Times New Roman" w:cs="Times New Roman"/>
          <w:lang w:val="en-GB"/>
        </w:rPr>
        <w:t xml:space="preserve">(6), 2781–2794. https://doi.org/10.4271/2025-01-8806</w:t>
      </w:r>
    </w:p>
    <w:p>
      <w:pPr>
        <w:spacing w:after="80" w:line="259" w:lineRule="auto"/>
        <w:ind w:left="360" w:hanging="360"/>
        <w:jc w:val="left"/>
      </w:pPr>
      <w:r>
        <w:rPr>
          <w:rFonts w:ascii="Times New Roman" w:hAnsi="Times New Roman" w:cs="Times New Roman"/>
          <w:lang w:val="en-GB"/>
        </w:rPr>
        <w:t xml:space="preserve">Canseven, H. T., Petrov, I., Martikainen, I., &amp; Pyrhönen, J. (2024). Eddy-current losses in slitted rotor cores of PMSMs—Development of a novel method. </w:t>
      </w:r>
      <w:r>
        <w:rPr>
          <w:rFonts w:ascii="Times New Roman" w:hAnsi="Times New Roman" w:cs="Times New Roman"/>
          <w:i/>
          <w:iCs/>
          <w:lang w:val="en-GB"/>
        </w:rPr>
        <w:t xml:space="preserve">IEEE Transactions on Energy Conversion, 40</w:t>
      </w:r>
      <w:r>
        <w:rPr>
          <w:rFonts w:ascii="Times New Roman" w:hAnsi="Times New Roman" w:cs="Times New Roman"/>
          <w:lang w:val="en-GB"/>
        </w:rPr>
        <w:t xml:space="preserve">(2), 1339–1349.</w:t>
      </w:r>
    </w:p>
    <w:p>
      <w:pPr>
        <w:spacing w:after="80" w:line="259" w:lineRule="auto"/>
        <w:ind w:left="360" w:hanging="360"/>
        <w:jc w:val="left"/>
      </w:pPr>
      <w:r>
        <w:rPr>
          <w:rFonts w:ascii="Times New Roman" w:hAnsi="Times New Roman" w:cs="Times New Roman"/>
          <w:lang w:val="en-GB"/>
        </w:rPr>
        <w:t xml:space="preserve">El Hajji, T., Hemeida, A., Lehikoinen, A., Martin, F., &amp; Belahcen, A. (2024). Optimal design of high specific power electric machines for fully electric regional aircraft: A case study of 1 MW S-PMSM. </w:t>
      </w:r>
      <w:r>
        <w:rPr>
          <w:rFonts w:ascii="Times New Roman" w:hAnsi="Times New Roman" w:cs="Times New Roman"/>
          <w:i/>
          <w:iCs/>
          <w:lang w:val="en-GB"/>
        </w:rPr>
        <w:t xml:space="preserve">Aerospace, 11</w:t>
      </w:r>
      <w:r>
        <w:rPr>
          <w:rFonts w:ascii="Times New Roman" w:hAnsi="Times New Roman" w:cs="Times New Roman"/>
          <w:lang w:val="en-GB"/>
        </w:rPr>
        <w:t xml:space="preserve">(10), 820. https://doi.org/10.3390/aerospace11100820</w:t>
      </w:r>
    </w:p>
    <w:p>
      <w:pPr>
        <w:spacing w:after="80" w:line="259" w:lineRule="auto"/>
        <w:ind w:left="360" w:hanging="360"/>
        <w:jc w:val="left"/>
      </w:pPr>
      <w:r>
        <w:rPr>
          <w:rFonts w:ascii="Times New Roman" w:hAnsi="Times New Roman" w:cs="Times New Roman"/>
          <w:lang w:val="en-GB"/>
        </w:rPr>
        <w:t xml:space="preserve">Lipo, T. A. (2017). </w:t>
      </w:r>
      <w:r>
        <w:rPr>
          <w:rFonts w:ascii="Times New Roman" w:hAnsi="Times New Roman" w:cs="Times New Roman"/>
          <w:i/>
          <w:iCs/>
          <w:lang w:val="en-GB"/>
        </w:rPr>
        <w:t xml:space="preserve">Analysis of synchronous machines</w:t>
      </w:r>
      <w:r>
        <w:rPr>
          <w:rFonts w:ascii="Times New Roman" w:hAnsi="Times New Roman" w:cs="Times New Roman"/>
          <w:lang w:val="en-GB"/>
        </w:rPr>
        <w:t xml:space="preserve">. CRC Press.</w:t>
      </w:r>
    </w:p>
    <w:p>
      <w:pPr>
        <w:spacing w:after="80" w:line="259" w:lineRule="auto"/>
        <w:ind w:left="360" w:hanging="360"/>
        <w:jc w:val="left"/>
      </w:pPr>
      <w:r>
        <w:rPr>
          <w:rFonts w:ascii="Times New Roman" w:hAnsi="Times New Roman" w:cs="Times New Roman"/>
          <w:lang w:val="en-GB"/>
        </w:rPr>
        <w:t xml:space="preserve">Pyrhönen, J., Jokinen, T., &amp; Hrabovcová, V. (2013). </w:t>
      </w:r>
      <w:r>
        <w:rPr>
          <w:rFonts w:ascii="Times New Roman" w:hAnsi="Times New Roman" w:cs="Times New Roman"/>
          <w:i/>
          <w:iCs/>
          <w:lang w:val="en-GB"/>
        </w:rPr>
        <w:t xml:space="preserve">Design of rotating electrical machines</w:t>
      </w:r>
      <w:r>
        <w:rPr>
          <w:rFonts w:ascii="Times New Roman" w:hAnsi="Times New Roman" w:cs="Times New Roman"/>
          <w:lang w:val="en-GB"/>
        </w:rPr>
        <w:t xml:space="preserve"> (2nd ed.). John Wiley &amp; Sons.</w:t>
      </w:r>
    </w:p>
    <w:p>
      <w:pPr>
        <w:spacing w:after="80" w:line="259" w:lineRule="auto"/>
        <w:ind w:left="360" w:hanging="360"/>
        <w:jc w:val="left"/>
      </w:pPr>
      <w:r>
        <w:rPr>
          <w:rFonts w:ascii="Times New Roman" w:hAnsi="Times New Roman" w:cs="Times New Roman"/>
          <w:lang w:val="en-GB"/>
        </w:rPr>
        <w:t xml:space="preserve">Scherman, E., Parviainen, M., Nutakor, C., Petrov, I., Pyrhönen, J., &amp; Sopanen, J. (2026). Impact of rotor topology on dynamic behavior and manufacturing in a high-speed electric machine. In J. Sopanen, E. Kurvinen, R. Viitala, T. Holopainen, &amp; T. Choudhury (Eds.), </w:t>
      </w:r>
      <w:r>
        <w:rPr>
          <w:rFonts w:ascii="Times New Roman" w:hAnsi="Times New Roman" w:cs="Times New Roman"/>
          <w:i/>
          <w:iCs/>
          <w:lang w:val="en-GB"/>
        </w:rPr>
        <w:t xml:space="preserve">Proceedings of the 12th IFToMM International Conference on Rotordynamics</w:t>
      </w:r>
      <w:r>
        <w:rPr>
          <w:rFonts w:ascii="Times New Roman" w:hAnsi="Times New Roman" w:cs="Times New Roman"/>
          <w:lang w:val="en-GB"/>
        </w:rPr>
        <w:t xml:space="preserve"> (Mechanisms and Machine Science, Vol. 211). Springer, Cham.</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üseyin Canseven (LUT)" w:date="2026-04-27T15:33:00Z" w:initials="HC">
    <w:p w14:paraId="0DC37DE8" w14:textId="77777777" w:rsidR="00A17807" w:rsidRDefault="00A17807" w:rsidP="00A17807">
      <w:pPr>
        <w:pStyle w:val="CommentText"/>
      </w:pPr>
      <w:r>
        <w:rPr>
          <w:rStyle w:val="CommentReference"/>
        </w:rPr>
        <w:annotationRef/>
      </w:r>
      <w:r>
        <w:rPr>
          <w:lang w:val="tr-TR"/>
        </w:rPr>
        <w:t xml:space="preserve">One figure can be added to this section to show some of the existing machines considering their high-speed definitions. In the subfig (a), it can show </w:t>
      </w:r>
      <w:r>
        <w:rPr>
          <w:i/>
          <w:iCs/>
          <w:lang w:val="en-GB"/>
        </w:rPr>
        <w:t>r</w:t>
      </w:r>
      <w:r>
        <w:rPr>
          <w:vertAlign w:val="subscript"/>
          <w:lang w:val="en-GB"/>
        </w:rPr>
        <w:t>r</w:t>
      </w:r>
      <w:r>
        <w:rPr>
          <w:lang w:val="en-GB"/>
        </w:rPr>
        <w:t xml:space="preserve"> </w:t>
      </w:r>
      <w:r>
        <w:rPr>
          <w:i/>
          <w:iCs/>
          <w:lang w:val="tr-TR"/>
        </w:rPr>
        <w:t xml:space="preserve">vs Ω, </w:t>
      </w:r>
      <w:r>
        <w:rPr>
          <w:lang w:val="tr-TR"/>
        </w:rPr>
        <w:t xml:space="preserve">while showing </w:t>
      </w:r>
      <w:r>
        <w:rPr>
          <w:i/>
          <w:iCs/>
        </w:rPr>
        <w:t>n</w:t>
      </w:r>
      <w:r>
        <w:rPr>
          <w:i/>
          <w:iCs/>
          <w:lang w:val="tr-TR"/>
        </w:rPr>
        <w:t xml:space="preserve"> vs </w:t>
      </w:r>
      <w:r>
        <w:rPr>
          <w:i/>
          <w:iCs/>
        </w:rPr>
        <w:t>P</w:t>
      </w:r>
      <w:r>
        <w:rPr>
          <w:i/>
          <w:iCs/>
          <w:lang w:val="tr-TR"/>
        </w:rPr>
        <w:t xml:space="preserve"> </w:t>
      </w:r>
      <w:r>
        <w:rPr>
          <w:lang w:val="tr-TR"/>
        </w:rPr>
        <w:t xml:space="preserve">in subfig (b). We can then think how to integrate </w:t>
      </w:r>
      <w:r>
        <w:rPr>
          <w:i/>
          <w:iCs/>
        </w:rPr>
        <w:t>fP</w:t>
      </w:r>
      <w:r>
        <w:rPr>
          <w:i/>
          <w:iCs/>
          <w:lang w:val="tr-TR"/>
        </w:rPr>
        <w:t xml:space="preserve"> </w:t>
      </w:r>
      <w:r>
        <w:rPr>
          <w:lang w:val="tr-TR"/>
        </w:rPr>
        <w:t>into these figures or it needs seperate subfigure.</w:t>
      </w:r>
    </w:p>
  </w:comment>
  <w:comment w:id="2" w:author="Hüseyin Canseven (LUT)" w:date="2026-04-28T23:59:00Z" w:initials="HC">
    <w:p w14:paraId="4A1AE7AA" w14:textId="77777777" w:rsidR="00F740F9" w:rsidRDefault="00F740F9" w:rsidP="00F740F9">
      <w:pPr>
        <w:pStyle w:val="CommentText"/>
      </w:pPr>
      <w:r>
        <w:rPr>
          <w:rStyle w:val="CommentReference"/>
        </w:rPr>
        <w:annotationRef/>
      </w:r>
      <w:r>
        <w:rPr>
          <w:color w:val="222222"/>
          <w:highlight w:val="white"/>
        </w:rPr>
        <w:t>El Hajji, Taha, et al. "Optimal design of high specific power electric machines for fully electric regional aircraft: A case study of 1mw s-pmsm." </w:t>
      </w:r>
      <w:r>
        <w:rPr>
          <w:i/>
          <w:iCs/>
          <w:color w:val="222222"/>
          <w:highlight w:val="white"/>
        </w:rPr>
        <w:t>Aerospace</w:t>
      </w:r>
      <w:r>
        <w:rPr>
          <w:color w:val="222222"/>
          <w:highlight w:val="white"/>
        </w:rPr>
        <w:t> 11.10 (2024): 820.</w:t>
      </w:r>
      <w:r>
        <w:t xml:space="preserve"> </w:t>
      </w:r>
    </w:p>
  </w:comment>
  <w:comment w:id="3" w:author="Hüseyin Canseven (LUT)" w:date="2026-04-27T15:03:00Z" w:initials="HC">
    <w:p w14:paraId="0D608EBD" w14:textId="16774746" w:rsidR="005D26B4" w:rsidRDefault="005D26B4" w:rsidP="005D26B4">
      <w:pPr>
        <w:pStyle w:val="CommentText"/>
      </w:pPr>
      <w:r>
        <w:rPr>
          <w:rStyle w:val="CommentReference"/>
        </w:rPr>
        <w:annotationRef/>
      </w:r>
      <w:r>
        <w:rPr>
          <w:lang w:val="tr-TR"/>
        </w:rPr>
        <w:t>Interesting but nice definition!</w:t>
      </w:r>
    </w:p>
  </w:comment>
  <w:comment w:id="4" w:author="Hüseyin Canseven (LUT)" w:date="2026-09-07T16:24:00Z" w:initials="HC">
    <w:p w14:paraId="628EEEF9" w14:textId="77777777" w:rsidR="0024361B" w:rsidRDefault="0024361B" w:rsidP="0024361B">
      <w:pPr>
        <w:pStyle w:val="CommentText"/>
      </w:pPr>
      <w:r>
        <w:rPr>
          <w:rStyle w:val="CommentReference"/>
        </w:rPr>
        <w:annotationRef/>
      </w:r>
      <w:r>
        <w:rPr>
          <w:color w:val="222222"/>
          <w:highlight w:val="white"/>
        </w:rPr>
        <w:t>Armengaud, E., Ratz, F., Muñiz, Á., Poza, J., Garramiola, F., Almandoz, G., ... &amp; Montonen, J. (2025). European initiatives addressing high efficiency and low-cost electric motors for circularity and low use of rare resources. </w:t>
      </w:r>
      <w:r>
        <w:rPr>
          <w:i/>
          <w:iCs/>
          <w:color w:val="222222"/>
          <w:highlight w:val="white"/>
        </w:rPr>
        <w:t>SAE International Journal of Advances and Current Practices in Mobility 288445</w:t>
      </w:r>
      <w:r>
        <w:rPr>
          <w:color w:val="222222"/>
          <w:highlight w:val="white"/>
        </w:rPr>
        <w:t>, </w:t>
      </w:r>
      <w:r>
        <w:rPr>
          <w:i/>
          <w:iCs/>
          <w:color w:val="222222"/>
          <w:highlight w:val="white"/>
        </w:rPr>
        <w:t>7</w:t>
      </w:r>
      <w:r>
        <w:rPr>
          <w:color w:val="222222"/>
          <w:highlight w:val="white"/>
        </w:rPr>
        <w:t>(6), 2781-2794.</w:t>
      </w:r>
      <w:r>
        <w:t xml:space="preserve"> </w:t>
      </w:r>
    </w:p>
  </w:comment>
  <w:comment w:id="5" w:author="Juha Pyrhönen (LUT)" w:date="2026-09-03T17:12:00Z" w:initials="JP">
    <w:p w14:paraId="41249BBD" w14:textId="77777777" w:rsidR="004F6389" w:rsidRDefault="000B6A16" w:rsidP="004F6389">
      <w:pPr>
        <w:pStyle w:val="CommentText"/>
      </w:pPr>
      <w:r>
        <w:rPr>
          <w:rStyle w:val="CommentReference"/>
        </w:rPr>
        <w:annotationRef/>
      </w:r>
      <w:r w:rsidR="004F6389">
        <w:t>The gearbox looks too much AI generated. Can you just close it so that the non-oriented wheels are not visible? The HSD version is also non realistic. Typically the AMBs are located in the motor and the impeller just at the moto shaft after the AMB</w:t>
      </w:r>
    </w:p>
  </w:comment>
  <w:comment w:id="6" w:author="Hüseyin Canseven (LUT)" w:date="2026-04-27T15:34:00Z" w:initials="HC">
    <w:p w14:paraId="1F498FF5" w14:textId="77777777" w:rsidR="004C37D9" w:rsidRDefault="004C37D9" w:rsidP="004C37D9">
      <w:pPr>
        <w:pStyle w:val="CommentText"/>
      </w:pPr>
      <w:r>
        <w:rPr>
          <w:rStyle w:val="CommentReference"/>
        </w:rPr>
        <w:annotationRef/>
      </w:r>
      <w:r>
        <w:rPr>
          <w:lang w:val="tr-TR"/>
        </w:rPr>
        <w:t>One another figure can be included to this section. It can show side by side comparison of geared vs. direct-drive architectures</w:t>
      </w:r>
    </w:p>
  </w:comment>
  <w:comment w:id="7" w:author="Hüseyin Canseven (LUT)" w:date="2026-09-07T16:33:00Z" w:initials="HC">
    <w:p w14:paraId="21AC3F49" w14:textId="77777777" w:rsidR="00DE497E" w:rsidRDefault="00DE497E" w:rsidP="00DE497E">
      <w:pPr>
        <w:pStyle w:val="CommentText"/>
      </w:pPr>
      <w:r>
        <w:rPr>
          <w:rStyle w:val="CommentReference"/>
        </w:rPr>
        <w:annotationRef/>
      </w:r>
      <w:r>
        <w:rPr>
          <w:color w:val="222222"/>
          <w:highlight w:val="white"/>
        </w:rPr>
        <w:t>Scherman, E., Parviainen, M., Nutakor, C., Petrov, I., Pyrhönen, J., Sopanen, J. (2026). Impact of Rotor Topology on Dynamic Behavior and Manufacturing in a High-Speed Electric Machine. In: Sopanen, J., Kurvinen, E., Viitala, R., Holopainen, T., Choudhury, T. (eds) Proceedings of the 12th IFToMM International Conference on Rotordynamics. IFToMM 2026. Mechanisms and Machine Science, vol 211. Springer, Cham.</w:t>
      </w:r>
      <w:r>
        <w:t xml:space="preserve"> </w:t>
      </w:r>
    </w:p>
  </w:comment>
  <w:comment w:id="8" w:author="Juha Pyrhönen (LUT)" w:date="2026-09-03T17:32:00Z" w:initials="JP">
    <w:p w14:paraId="35627C89" w14:textId="64BFA1B4" w:rsidR="00E56949" w:rsidRDefault="00E56949" w:rsidP="00E56949">
      <w:pPr>
        <w:pStyle w:val="CommentText"/>
      </w:pPr>
      <w:r>
        <w:rPr>
          <w:rStyle w:val="CommentReference"/>
        </w:rPr>
        <w:annotationRef/>
      </w:r>
      <w:r>
        <w:t>Not sure if this is relevant. Ceramic balls are frequently used in case of HS bearings</w:t>
      </w:r>
    </w:p>
  </w:comment>
  <w:comment w:id="9" w:author="Juha Pyrhönen (LUT)" w:date="2026-09-03T17:38:00Z" w:initials="JP">
    <w:p w14:paraId="6AD9F795" w14:textId="77777777" w:rsidR="0028599E" w:rsidRDefault="0028599E" w:rsidP="0028599E">
      <w:pPr>
        <w:pStyle w:val="CommentText"/>
      </w:pPr>
      <w:r>
        <w:rPr>
          <w:rStyle w:val="CommentReference"/>
        </w:rPr>
        <w:annotationRef/>
      </w:r>
      <w:r>
        <w:t>It may be dangerous to say that gear oil is used as we have seen how difficult it is. We can just say that oil is used for cooling. The reader can then imagine from where it comes.</w:t>
      </w:r>
    </w:p>
  </w:comment>
  <w:comment w:id="10" w:author="Hüseyin Canseven (LUT)" w:date="2026-09-07T16:41:00Z" w:initials="HC">
    <w:p w14:paraId="7DB0A973" w14:textId="77777777" w:rsidR="00F816CB" w:rsidRDefault="00F816CB" w:rsidP="00F816CB">
      <w:pPr>
        <w:pStyle w:val="CommentText"/>
      </w:pPr>
      <w:r>
        <w:rPr>
          <w:rStyle w:val="CommentReference"/>
        </w:rPr>
        <w:annotationRef/>
      </w:r>
      <w:r>
        <w:rPr>
          <w:color w:val="222222"/>
          <w:highlight w:val="white"/>
        </w:rPr>
        <w:t>Canseven, H. T., Petrov, I., Martikainen, I., &amp; Pyrhönen, J. (2024). Eddy-Current Losses in Slitted Rotor Cores of PMSMs—Development of a Novel Method. </w:t>
      </w:r>
      <w:r>
        <w:rPr>
          <w:i/>
          <w:iCs/>
          <w:color w:val="222222"/>
          <w:highlight w:val="white"/>
        </w:rPr>
        <w:t>IEEE Transactions on Energy Conversion</w:t>
      </w:r>
      <w:r>
        <w:rPr>
          <w:color w:val="222222"/>
          <w:highlight w:val="white"/>
        </w:rPr>
        <w:t>, </w:t>
      </w:r>
      <w:r>
        <w:rPr>
          <w:i/>
          <w:iCs/>
          <w:color w:val="222222"/>
          <w:highlight w:val="white"/>
        </w:rPr>
        <w:t>40</w:t>
      </w:r>
      <w:r>
        <w:rPr>
          <w:color w:val="222222"/>
          <w:highlight w:val="white"/>
        </w:rPr>
        <w:t>(2), 1339-1349.</w:t>
      </w:r>
      <w:r>
        <w:t xml:space="preserve"> </w:t>
      </w:r>
    </w:p>
  </w:comment>
  <w:comment w:id="11" w:author="Juha Pyrhönen (LUT)" w:date="2026-09-03T17:50:00Z" w:initials="JP">
    <w:p w14:paraId="2CF5CD5D" w14:textId="77777777" w:rsidR="00D835BD" w:rsidRDefault="00D835BD" w:rsidP="00D835BD">
      <w:pPr>
        <w:pStyle w:val="CommentText"/>
      </w:pPr>
      <w:r>
        <w:rPr>
          <w:rStyle w:val="CommentReference"/>
        </w:rPr>
        <w:annotationRef/>
      </w:r>
      <w:r>
        <w:t>This comes here as a surprise. Please write an introduction</w:t>
      </w:r>
    </w:p>
  </w:comment>
  <w:comment w:id="12" w:author="Hüseyin Canseven (LUT)" w:date="2026-04-27T15:42:00Z" w:initials="HC">
    <w:p w14:paraId="0841F42F" w14:textId="77777777" w:rsidR="0088122D" w:rsidRDefault="0088122D" w:rsidP="0088122D">
      <w:pPr>
        <w:pStyle w:val="CommentText"/>
      </w:pPr>
      <w:r>
        <w:rPr>
          <w:rStyle w:val="CommentReference"/>
        </w:rPr>
        <w:annotationRef/>
      </w:r>
      <w:r>
        <w:rPr>
          <w:lang w:val="tr-TR"/>
        </w:rPr>
        <w:t xml:space="preserve">we can include here a figure that show </w:t>
      </w:r>
      <w:r>
        <w:rPr>
          <w:color w:val="000000"/>
          <w:lang w:val="tr-TR"/>
        </w:rPr>
        <w:t xml:space="preserve">an illustration of a long, and thin rotor shaft. It can be Show the "1st bending mode" (a bow-shape) and "2nd bending mode" (an S-shape) with dashed lines indicating the original straight shaft. </w:t>
      </w:r>
    </w:p>
  </w:comment>
  <w:comment w:id="13" w:author="Hüseyin Canseven (LUT)" w:date="2026-09-07T16:44:00Z" w:initials="HC">
    <w:p w14:paraId="0D89D26C" w14:textId="77777777" w:rsidR="00D32D40" w:rsidRDefault="00D32D40" w:rsidP="00D32D40">
      <w:pPr>
        <w:pStyle w:val="CommentText"/>
      </w:pPr>
      <w:r>
        <w:rPr>
          <w:rStyle w:val="CommentReference"/>
        </w:rPr>
        <w:annotationRef/>
      </w:r>
      <w:r>
        <w:t xml:space="preserve">Lipo, T. A. (2017). Analysis of synchronous machines. CRC press. </w:t>
      </w:r>
    </w:p>
  </w:comment>
  <w:comment w:id="14" w:author="Hüseyin Canseven (LUT)" w:date="2026-09-07T16:45:00Z" w:initials="HC">
    <w:p w14:paraId="330C786C" w14:textId="77777777" w:rsidR="0037271A" w:rsidRDefault="0037271A" w:rsidP="0037271A">
      <w:pPr>
        <w:pStyle w:val="CommentText"/>
      </w:pPr>
      <w:r>
        <w:rPr>
          <w:rStyle w:val="CommentReference"/>
        </w:rPr>
        <w:annotationRef/>
      </w:r>
      <w:r>
        <w:t>Pyrhönen, J., Jokinen, T., and Hrabovcova, V. (2013). Design of rotating electrical machines. John Wiley &amp; Sons.</w:t>
      </w:r>
    </w:p>
  </w:comment>
  <w:comment w:id="15" w:author="Hüseyin Canseven (LUT)" w:date="2026-04-27T15:46:00Z" w:initials="HC">
    <w:p w14:paraId="4283F15D" w14:textId="77777777" w:rsidR="00FF58ED" w:rsidRDefault="00FF58ED" w:rsidP="00FF58ED">
      <w:pPr>
        <w:pStyle w:val="CommentText"/>
      </w:pPr>
      <w:r>
        <w:rPr>
          <w:rStyle w:val="CommentReference"/>
        </w:rPr>
        <w:annotationRef/>
      </w:r>
      <w:r>
        <w:rPr>
          <w:lang w:val="tr-TR"/>
        </w:rPr>
        <w:t>I have a good figure idea to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C37DE8" w15:done="1"/>
  <w15:commentEx w15:paraId="4A1AE7AA" w15:done="1"/>
  <w15:commentEx w15:paraId="0D608EBD" w15:done="1"/>
  <w15:commentEx w15:paraId="628EEEF9" w15:done="1"/>
  <w15:commentEx w15:paraId="41249BBD" w15:done="1"/>
  <w15:commentEx w15:paraId="1F498FF5" w15:done="1"/>
  <w15:commentEx w15:paraId="21AC3F49" w15:done="1"/>
  <w15:commentEx w15:paraId="35627C89" w15:done="1"/>
  <w15:commentEx w15:paraId="6AD9F795" w15:done="1"/>
  <w15:commentEx w15:paraId="7DB0A973" w15:done="1"/>
  <w15:commentEx w15:paraId="2CF5CD5D" w15:done="1"/>
  <w15:commentEx w15:paraId="0841F42F" w15:done="1"/>
  <w15:commentEx w15:paraId="0D89D26C" w15:done="1"/>
  <w15:commentEx w15:paraId="330C786C" w15:done="1"/>
  <w15:commentEx w15:paraId="4283F1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B8C92" w16cex:dateUtc="2026-04-27T12:33:00Z"/>
  <w16cex:commentExtensible w16cex:durableId="10552493" w16cex:dateUtc="2026-04-28T20:59:00Z"/>
  <w16cex:commentExtensible w16cex:durableId="4902BB93" w16cex:dateUtc="2026-04-27T12:03:00Z"/>
  <w16cex:commentExtensible w16cex:durableId="3E8A342C" w16cex:dateUtc="2026-09-07T13:24:00Z"/>
  <w16cex:commentExtensible w16cex:durableId="733152ED" w16cex:dateUtc="2026-09-03T14:12:00Z"/>
  <w16cex:commentExtensible w16cex:durableId="01C49231" w16cex:dateUtc="2026-04-27T12:34:00Z"/>
  <w16cex:commentExtensible w16cex:durableId="7F9DECB1" w16cex:dateUtc="2026-09-07T13:33:00Z"/>
  <w16cex:commentExtensible w16cex:durableId="1AA277DA" w16cex:dateUtc="2026-09-03T14:32:00Z"/>
  <w16cex:commentExtensible w16cex:durableId="35951B1E" w16cex:dateUtc="2026-09-03T14:38:00Z"/>
  <w16cex:commentExtensible w16cex:durableId="36AE446B" w16cex:dateUtc="2026-09-07T13:41:00Z"/>
  <w16cex:commentExtensible w16cex:durableId="5DE6FB10" w16cex:dateUtc="2026-09-03T14:50:00Z"/>
  <w16cex:commentExtensible w16cex:durableId="355645F5" w16cex:dateUtc="2026-04-27T12:42:00Z"/>
  <w16cex:commentExtensible w16cex:durableId="50BAC424" w16cex:dateUtc="2026-09-07T13:44:00Z"/>
  <w16cex:commentExtensible w16cex:durableId="3358BCD9" w16cex:dateUtc="2026-09-07T13:45:00Z"/>
  <w16cex:commentExtensible w16cex:durableId="451D7046" w16cex:dateUtc="2026-04-27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C37DE8" w16cid:durableId="240B8C92"/>
  <w16cid:commentId w16cid:paraId="4A1AE7AA" w16cid:durableId="10552493"/>
  <w16cid:commentId w16cid:paraId="0D608EBD" w16cid:durableId="4902BB93"/>
  <w16cid:commentId w16cid:paraId="628EEEF9" w16cid:durableId="3E8A342C"/>
  <w16cid:commentId w16cid:paraId="41249BBD" w16cid:durableId="733152ED"/>
  <w16cid:commentId w16cid:paraId="1F498FF5" w16cid:durableId="01C49231"/>
  <w16cid:commentId w16cid:paraId="21AC3F49" w16cid:durableId="7F9DECB1"/>
  <w16cid:commentId w16cid:paraId="35627C89" w16cid:durableId="1AA277DA"/>
  <w16cid:commentId w16cid:paraId="6AD9F795" w16cid:durableId="35951B1E"/>
  <w16cid:commentId w16cid:paraId="7DB0A973" w16cid:durableId="36AE446B"/>
  <w16cid:commentId w16cid:paraId="2CF5CD5D" w16cid:durableId="5DE6FB10"/>
  <w16cid:commentId w16cid:paraId="0841F42F" w16cid:durableId="355645F5"/>
  <w16cid:commentId w16cid:paraId="0D89D26C" w16cid:durableId="50BAC424"/>
  <w16cid:commentId w16cid:paraId="330C786C" w16cid:durableId="3358BCD9"/>
  <w16cid:commentId w16cid:paraId="4283F15D" w16cid:durableId="451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üseyin Canseven (LUT)">
    <w15:presenceInfo w15:providerId="AD" w15:userId="S::Huseyin.Canseven@lut.fi::6727b027-2115-4d67-ad55-ac0a7647c63b"/>
  </w15:person>
  <w15:person w15:author="Juha Pyrhönen (LUT)">
    <w15:presenceInfo w15:providerId="AD" w15:userId="S::Juha.Pyrhonen@lut.fi::b91cf7d3-a325-434d-b80e-608d750db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