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1, §1.1.2 — specific speed and the turbomachinery optimum</w:t>
            </w:r>
          </w:p>
        </w:tc>
        <w:tc>
          <w:tcPr>
            <w:tcW w:type="dxa" w:w="2880"/>
          </w:tcPr>
          <w:p>
            <w:r>
              <w:rPr>
                <w:sz w:val="19"/>
              </w:rPr>
            </w:r>
            <w:r>
              <w:rPr>
                <w:sz w:val="19"/>
              </w:rPr>
              <w:t>Ahti Jaatinen-Värri</w:t>
            </w:r>
          </w:p>
        </w:tc>
        <w:tc>
          <w:tcPr>
            <w:tcW w:type="dxa" w:w="2880"/>
          </w:tcPr>
          <w:p>
            <w:r>
              <w:rPr>
                <w:sz w:val="19"/>
              </w:rPr>
            </w:r>
            <w:r>
              <w:rPr>
                <w:sz w:val="19"/>
              </w:rPr>
              <w:t>LUT, Laboratory of Fluid Dynamics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Solutions,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independent researcher and engineering consultant</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