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r>
        <w:rPr>
          <w:rFonts w:ascii="Times New Roman" w:hAnsi="Times New Roman" w:cs="Times New Roman"/>
          <w:lang w:val="en-GB"/>
        </w:rPr>
        <w:t xml:space="preserve">mechanical r/min value</w:t>
      </w:r>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r>
        <w:rPr>
          <w:rFonts w:ascii="Times New Roman" w:hAnsi="Times New Roman" w:cs="Times New Roman"/>
          <w:lang w:val="en-GB"/>
        </w:rPr>
        <w:t xml:space="preserve">10 to 20 times</w:t>
      </w:r>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the EU-financed Voltcar project</w:t>
      </w:r>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rFonts w:ascii="Times New Roman" w:hAnsi="Times New Roman" w:cs="Times New Roman"/>
          <w:lang w:val="en-GB"/>
        </w:rPr>
      </w:pPr>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Pr>
          <w:rFonts w:ascii="Times New Roman" w:hAnsi="Times New Roman" w:cs="Times New Roman"/>
          <w:i/>
          <w:iCs/>
          <w:lang w:val="en-GB"/>
        </w:rPr>
        <w:t xml:space="preserve">fP</w:t>
      </w:r>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pPr>
        <w:rPr>
          <w:rFonts w:ascii="Times New Roman" w:hAnsi="Times New Roman" w:cs="Times New Roman"/>
          <w:lang w:val="en-GB"/>
        </w:rPr>
      </w:pPr>
      <w:r>
        <w:rPr>
          <w:rFonts w:ascii="Times New Roman" w:hAnsi="Times New Roman" w:cs="Times New Roman"/>
          <w:lang w:val="en-GB"/>
        </w:rPr>
        <w:t xml:space="preserve">What the </w:t>
      </w:r>
      <w:r>
        <w:rPr>
          <w:rFonts w:ascii="Times New Roman" w:hAnsi="Times New Roman" w:cs="Times New Roman"/>
          <w:i/>
          <w:iCs/>
          <w:lang w:val="en-GB"/>
        </w:rPr>
        <w:t xml:space="preserve">fP</w:t>
      </w:r>
      <w:r>
        <w:rPr>
          <w:rFonts w:ascii="Times New Roman" w:hAnsi="Times New Roman" w:cs="Times New Roman"/>
          <w:lang w:val="en-GB"/>
        </w:rPr>
        <w:t xml:space="preserve"> product does capture, and what neither </w:t>
      </w:r>
      <w:r>
        <w:rPr>
          <w:rFonts w:ascii="Times New Roman" w:hAnsi="Times New Roman" w:cs="Times New Roman"/>
          <w:i/>
          <w:iCs/>
          <w:lang w:val="en-GB"/>
        </w:rPr>
        <w:t xml:space="preserve">v</w:t>
      </w:r>
      <w:r>
        <w:rPr>
          <w:rFonts w:ascii="Times New Roman" w:hAnsi="Times New Roman" w:cs="Times New Roman"/>
          <w:vertAlign w:val="subscript"/>
          <w:lang w:val="en-GB"/>
        </w:rPr>
        <w:t xml:space="preserve">tip</w:t>
      </w:r>
      <w:r>
        <w:rPr>
          <w:rFonts w:ascii="Times New Roman" w:hAnsi="Times New Roman" w:cs="Times New Roman"/>
          <w:lang w:val="en-GB"/>
        </w:rPr>
        <w:t xml:space="preserve"> nor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can, is the pole number. The same 120 kW rotor wound as a two-pole machine would have an identical tip speed and an identical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while its fundamental frequency, and with it the </w:t>
      </w:r>
      <w:r>
        <w:rPr>
          <w:rFonts w:ascii="Times New Roman" w:hAnsi="Times New Roman" w:cs="Times New Roman"/>
          <w:i/>
          <w:iCs/>
          <w:lang w:val="en-GB"/>
        </w:rPr>
        <w:t xml:space="preserve">fP</w:t>
      </w:r>
      <w:r>
        <w:rPr>
          <w:rFonts w:ascii="Times New Roman" w:hAnsi="Times New Roman" w:cs="Times New Roman"/>
          <w:lang w:val="en-GB"/>
        </w:rPr>
        <w:t xml:space="preserve"> product, would fall by a factor of three. Figure 1.1 shows how the two criteria sit relative to one another in the power–speed plane.</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1.1. The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and </w:t>
      </w:r>
      <w:r>
        <w:rPr>
          <w:rFonts w:ascii="Times New Roman" w:hAnsi="Times New Roman" w:cs="Times New Roman"/>
          <w:i/>
          <w:iCs/>
          <w:lang w:val="en-GB"/>
        </w:rPr>
        <w:t xml:space="preserve">fP</w:t>
      </w:r>
      <w:r>
        <w:rPr>
          <w:rFonts w:ascii="Times New Roman" w:hAnsi="Times New Roman" w:cs="Times New Roman"/>
          <w:lang w:val="en-GB"/>
        </w:rPr>
        <w:t xml:space="preserve"> criteria in the power–speed plane. The </w:t>
      </w:r>
      <w:r>
        <w:rPr>
          <w:rFonts w:ascii="Times New Roman" w:hAnsi="Times New Roman" w:cs="Times New Roman"/>
          <w:i/>
          <w:iCs/>
          <w:lang w:val="en-GB"/>
        </w:rPr>
        <w:t xml:space="preserve">fP</w:t>
      </w:r>
      <w:r>
        <w:rPr>
          <w:rFonts w:ascii="Times New Roman" w:hAnsi="Times New Roman" w:cs="Times New Roman"/>
          <w:lang w:val="en-GB"/>
        </w:rPr>
        <w:t xml:space="preserve"> contour is drawn for </w:t>
      </w:r>
      <w:r>
        <w:rPr>
          <w:rFonts w:ascii="Times New Roman" w:hAnsi="Times New Roman" w:cs="Times New Roman"/>
          <w:i/>
          <w:iCs/>
          <w:lang w:val="en-GB"/>
        </w:rPr>
        <w:t xml:space="preserve">p</w:t>
      </w:r>
      <w:r>
        <w:rPr>
          <w:rFonts w:ascii="Times New Roman" w:hAnsi="Times New Roman" w:cs="Times New Roman"/>
          <w:lang w:val="en-GB"/>
        </w:rPr>
        <w:t xml:space="preserve"> = 3; changing the pole-pair number translates it vertically, which is the dependence that </w:t>
      </w:r>
      <w:r>
        <w:rPr>
          <w:rFonts w:ascii="Times New Roman" w:hAnsi="Times New Roman" w:cs="Times New Roman"/>
          <w:i/>
          <w:iCs/>
          <w:lang w:val="en-GB"/>
        </w:rPr>
        <w:t xml:space="preserve">n</w:t>
      </w:r>
      <w:r>
        <w:rPr>
          <w:rFonts w:ascii="Times New Roman" w:hAnsi="Times New Roman" w:cs="Times New Roman"/>
          <w:lang w:val="en-GB"/>
        </w:rPr>
        <w:t xml:space="preserve">√</w:t>
      </w:r>
      <w:r>
        <w:rPr>
          <w:rFonts w:ascii="Times New Roman" w:hAnsi="Times New Roman" w:cs="Times New Roman"/>
          <w:i/>
          <w:iCs/>
          <w:lang w:val="en-GB"/>
        </w:rPr>
        <w:t xml:space="preserve">P</w:t>
      </w:r>
      <w:r>
        <w:rPr>
          <w:rFonts w:ascii="Times New Roman" w:hAnsi="Times New Roman" w:cs="Times New Roman"/>
          <w:lang w:val="en-GB"/>
        </w:rPr>
        <w:t xml:space="preserve"> cannot express. The marked point is the machine of Table 1.1.</w:t>
      </w:r>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365350"/>
            <wp:effectExtent l="0" t="0" r="0" b="0"/>
            <wp:docPr id="900000006" name="Picture 900000006"/>
            <wp:cNvGraphicFramePr>
              <a:graphicFrameLocks noChangeAspect="1"/>
            </wp:cNvGraphicFramePr>
            <a:graphic>
              <a:graphicData uri="http://schemas.openxmlformats.org/drawingml/2006/picture">
                <pic:pic>
                  <pic:nvPicPr>
                    <pic:cNvPr id="900000006" name="fig_geared_vs_directdrive.png"/>
                    <pic:cNvPicPr/>
                  </pic:nvPicPr>
                  <pic:blipFill>
                    <a:blip r:embed="rId106"/>
                    <a:stretch>
                      <a:fillRect/>
                    </a:stretch>
                  </pic:blipFill>
                  <pic:spPr>
                    <a:xfrm>
                      <a:off x="0" y="0"/>
                      <a:ext cx="5731510" cy="5365350"/>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r>
        <w:rPr>
          <w:rFonts w:ascii="Times New Roman" w:hAnsi="Times New Roman" w:cs="Times New Roman"/>
          <w:lang w:val="en-GB"/>
        </w:rPr>
        <w:t xml:space="preserve">2–5 mm</w:t>
      </w:r>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t>
      </w:r>
      <w:r>
        <w:rPr>
          <w:rFonts w:ascii="Times New Roman" w:hAnsi="Times New Roman" w:cs="Times New Roman"/>
          <w:lang w:val="en-GB"/>
        </w:rPr>
        <w:t xml:space="preserve">in which oil is used to cool the stator winding and the rotor</w:t>
      </w:r>
      <w:r>
        <w:rPr>
          <w:rFonts w:ascii="Times New Roman" w:hAnsi="Times New Roman" w:cs="Times New Roman"/>
          <w:lang w:val="en-GB"/>
        </w:rPr>
        <w:t xml:space="preserve">.</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r>
        <w:rPr>
          <w:rFonts w:ascii="Times New Roman" w:hAnsi="Times New Roman" w:cs="Times New Roman"/>
          <w:lang w:val="en-GB"/>
        </w:rPr>
        <w:t xml:space="preserve">stress at the inner radius</w:t>
      </w:r>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r>
        <w:rPr>
          <w:rFonts w:ascii="Times New Roman" w:hAnsi="Times New Roman" w:cs="Times New Roman"/>
          <w:lang w:val="en-GB"/>
        </w:rPr>
        <w:t xml:space="preserve">a large air gap</w:t>
      </w:r>
      <w:r>
        <w:rPr>
          <w:rFonts w:ascii="Times New Roman" w:hAnsi="Times New Roman" w:cs="Times New Roman"/>
          <w:lang w:val="en-GB"/>
        </w:rPr>
        <w:t xml:space="preserve">, low-harmonic winding and typically necessitate an LC filter in the supply line.</w:t>
      </w:r>
    </w:p>
    <w:p>
      <w:pPr>
        <w:rPr>
          <w:rFonts w:ascii="Times New Roman" w:hAnsi="Times New Roman" w:cs="Times New Roman"/>
          <w:lang w:val="en-GB"/>
        </w:rPr>
      </w:pPr>
      <w:r>
        <w:rPr>
          <w:rFonts w:ascii="Times New Roman" w:hAnsi="Times New Roman" w:cs="Times New Roman"/>
          <w:lang w:val="en-GB"/>
        </w:rPr>
        <w:t xml:space="preserve">It is worth putting this into algebra, because the penalty for a bore is easily underestimated and because the stress grows with the square of the peripheral speed, so a rotor passes from comfortable to impossible within a narrow band of tip speed. The factor of two quoted above is exact for a thin disc. For a solid rotating disc of density </w:t>
      </w:r>
      <w:r>
        <w:rPr>
          <w:rFonts w:ascii="Times New Roman" w:hAnsi="Times New Roman" w:cs="Times New Roman"/>
          <w:i/>
          <w:iCs/>
          <w:lang w:val="en-GB"/>
        </w:rPr>
        <w:t xml:space="preserve">ρ</w:t>
      </w:r>
      <w:r>
        <w:rPr>
          <w:rFonts w:ascii="Times New Roman" w:hAnsi="Times New Roman" w:cs="Times New Roman"/>
          <w:lang w:val="en-GB"/>
        </w:rPr>
        <w:t xml:space="preserve"> and Poisson ratio </w:t>
      </w:r>
      <w:r>
        <w:rPr>
          <w:rFonts w:ascii="Times New Roman" w:hAnsi="Times New Roman" w:cs="Times New Roman"/>
          <w:i/>
          <w:iCs/>
          <w:lang w:val="en-GB"/>
        </w:rPr>
        <w:t xml:space="preserve">ν</w:t>
      </w:r>
      <w:r>
        <w:rPr>
          <w:rFonts w:ascii="Times New Roman" w:hAnsi="Times New Roman" w:cs="Times New Roman"/>
          <w:lang w:val="en-GB"/>
        </w:rPr>
        <w:t xml:space="preserve"> the maximum tangential stress occurs at the centre and is</w:t>
      </w:r>
    </w:p>
    <w:p>
      <w:pPr>
        <w:ind w:firstLine="1304"/>
        <w:rPr>
          <w:rFonts w:ascii="Times New Roman" w:hAnsi="Times New Roman" w:cs="Times New Roman"/>
          <w:lang w:val="en-GB"/>
        </w:rPr>
      </w:pPr>
      <w:r>
        <w:rPr>
          <w:rFonts w:ascii="Times New Roman" w:hAnsi="Times New Roman" w:cs="Times New Roman"/>
          <w:i/>
          <w:iCs/>
          <w:lang w:val="en-GB"/>
        </w:rPr>
        <w:t xml:space="preserve">σ</w:t>
      </w:r>
      <w:r>
        <w:rPr>
          <w:rFonts w:ascii="Times New Roman" w:hAnsi="Times New Roman" w:cs="Times New Roman"/>
          <w:vertAlign w:val="subscript"/>
          <w:lang w:val="en-GB"/>
        </w:rPr>
        <w:t xml:space="preserve">max</w:t>
      </w:r>
      <w:r>
        <w:rPr>
          <w:rFonts w:ascii="Times New Roman" w:hAnsi="Times New Roman" w:cs="Times New Roman"/>
          <w:lang w:val="en-GB"/>
        </w:rPr>
        <w:t xml:space="preserve"> = [(3 + </w:t>
      </w:r>
      <w:r>
        <w:rPr>
          <w:rFonts w:ascii="Times New Roman" w:hAnsi="Times New Roman" w:cs="Times New Roman"/>
          <w:i/>
          <w:iCs/>
          <w:lang w:val="en-GB"/>
        </w:rPr>
        <w:t xml:space="preserve">ν</w:t>
      </w:r>
      <w:r>
        <w:rPr>
          <w:rFonts w:ascii="Times New Roman" w:hAnsi="Times New Roman" w:cs="Times New Roman"/>
          <w:lang w:val="en-GB"/>
        </w:rPr>
        <w:t xml:space="preserve">)/8] </w:t>
      </w:r>
      <w:r>
        <w:rPr>
          <w:rFonts w:ascii="Times New Roman" w:hAnsi="Times New Roman" w:cs="Times New Roman"/>
          <w:i/>
          <w:iCs/>
          <w:lang w:val="en-GB"/>
        </w:rPr>
        <w:t xml:space="preserve">ρ</w:t>
      </w:r>
      <w:r>
        <w:rPr>
          <w:rFonts w:ascii="Times New Roman" w:hAnsi="Times New Roman" w:cs="Times New Roman"/>
          <w:lang w:val="en-GB"/>
        </w:rPr>
        <w:t xml:space="preserve"> </w:t>
      </w:r>
      <w:r>
        <w:rPr>
          <w:rFonts w:ascii="Times New Roman" w:hAnsi="Times New Roman" w:cs="Times New Roman"/>
          <w:i/>
          <w:iCs/>
          <w:lang w:val="en-GB"/>
        </w:rPr>
        <w:t xml:space="preserve">v</w:t>
      </w:r>
      <w:r>
        <w:rPr>
          <w:rFonts w:ascii="Times New Roman" w:hAnsi="Times New Roman" w:cs="Times New Roman"/>
          <w:vertAlign w:val="subscript"/>
          <w:lang w:val="en-GB"/>
        </w:rPr>
        <w:t xml:space="preserve">tip</w:t>
      </w:r>
      <w:r>
        <w:rPr>
          <w:rFonts w:ascii="Times New Roman" w:hAnsi="Times New Roman" w:cs="Times New Roman"/>
          <w:vertAlign w:val="superscript"/>
          <w:lang w:val="en-GB"/>
        </w:rPr>
        <w:t xml:space="preserve">2</w:t>
      </w:r>
    </w:p>
    <w:p>
      <w:pPr>
        <w:rPr>
          <w:rFonts w:ascii="Times New Roman" w:hAnsi="Times New Roman" w:cs="Times New Roman"/>
          <w:lang w:val="en-GB"/>
        </w:rPr>
      </w:pPr>
      <w:r>
        <w:rPr>
          <w:rFonts w:ascii="Times New Roman" w:hAnsi="Times New Roman" w:cs="Times New Roman"/>
          <w:lang w:val="en-GB"/>
        </w:rPr>
        <w:t xml:space="preserve">while introducing a small central bore moves the maximum to the bore and doubles it:</w:t>
      </w:r>
    </w:p>
    <w:p>
      <w:pPr>
        <w:ind w:firstLine="1304"/>
        <w:rPr>
          <w:rFonts w:ascii="Times New Roman" w:hAnsi="Times New Roman" w:cs="Times New Roman"/>
          <w:lang w:val="en-GB"/>
        </w:rPr>
      </w:pPr>
      <w:r>
        <w:rPr>
          <w:rFonts w:ascii="Times New Roman" w:hAnsi="Times New Roman" w:cs="Times New Roman"/>
          <w:i/>
          <w:iCs/>
          <w:lang w:val="en-GB"/>
        </w:rPr>
        <w:t xml:space="preserve">σ</w:t>
      </w:r>
      <w:r>
        <w:rPr>
          <w:rFonts w:ascii="Times New Roman" w:hAnsi="Times New Roman" w:cs="Times New Roman"/>
          <w:vertAlign w:val="subscript"/>
          <w:lang w:val="en-GB"/>
        </w:rPr>
        <w:t xml:space="preserve">max</w:t>
      </w:r>
      <w:r>
        <w:rPr>
          <w:rFonts w:ascii="Times New Roman" w:hAnsi="Times New Roman" w:cs="Times New Roman"/>
          <w:lang w:val="en-GB"/>
        </w:rPr>
        <w:t xml:space="preserve"> = [(3 + </w:t>
      </w:r>
      <w:r>
        <w:rPr>
          <w:rFonts w:ascii="Times New Roman" w:hAnsi="Times New Roman" w:cs="Times New Roman"/>
          <w:i/>
          <w:iCs/>
          <w:lang w:val="en-GB"/>
        </w:rPr>
        <w:t xml:space="preserve">ν</w:t>
      </w:r>
      <w:r>
        <w:rPr>
          <w:rFonts w:ascii="Times New Roman" w:hAnsi="Times New Roman" w:cs="Times New Roman"/>
          <w:lang w:val="en-GB"/>
        </w:rPr>
        <w:t xml:space="preserve">)/4] </w:t>
      </w:r>
      <w:r>
        <w:rPr>
          <w:rFonts w:ascii="Times New Roman" w:hAnsi="Times New Roman" w:cs="Times New Roman"/>
          <w:i/>
          <w:iCs/>
          <w:lang w:val="en-GB"/>
        </w:rPr>
        <w:t xml:space="preserve">ρ</w:t>
      </w:r>
      <w:r>
        <w:rPr>
          <w:rFonts w:ascii="Times New Roman" w:hAnsi="Times New Roman" w:cs="Times New Roman"/>
          <w:lang w:val="en-GB"/>
        </w:rPr>
        <w:t xml:space="preserve"> </w:t>
      </w:r>
      <w:r>
        <w:rPr>
          <w:rFonts w:ascii="Times New Roman" w:hAnsi="Times New Roman" w:cs="Times New Roman"/>
          <w:i/>
          <w:iCs/>
          <w:lang w:val="en-GB"/>
        </w:rPr>
        <w:t xml:space="preserve">v</w:t>
      </w:r>
      <w:r>
        <w:rPr>
          <w:rFonts w:ascii="Times New Roman" w:hAnsi="Times New Roman" w:cs="Times New Roman"/>
          <w:vertAlign w:val="subscript"/>
          <w:lang w:val="en-GB"/>
        </w:rPr>
        <w:t xml:space="preserve">tip</w:t>
      </w:r>
      <w:r>
        <w:rPr>
          <w:rFonts w:ascii="Times New Roman" w:hAnsi="Times New Roman" w:cs="Times New Roman"/>
          <w:vertAlign w:val="superscript"/>
          <w:lang w:val="en-GB"/>
        </w:rPr>
        <w:t xml:space="preserve">2</w:t>
      </w:r>
    </w:p>
    <w:p>
      <w:pPr>
        <w:rPr>
          <w:rFonts w:ascii="Times New Roman" w:hAnsi="Times New Roman" w:cs="Times New Roman"/>
          <w:lang w:val="en-GB"/>
        </w:rPr>
      </w:pPr>
      <w:r>
        <w:rPr>
          <w:rFonts w:ascii="Times New Roman" w:hAnsi="Times New Roman" w:cs="Times New Roman"/>
          <w:lang w:val="en-GB"/>
        </w:rPr>
        <w:t xml:space="preserve">Figure 1.3 evaluates both for electrical steel, taking </w:t>
      </w:r>
      <w:r>
        <w:rPr>
          <w:rFonts w:ascii="Times New Roman" w:hAnsi="Times New Roman" w:cs="Times New Roman"/>
          <w:i/>
          <w:iCs/>
          <w:lang w:val="en-GB"/>
        </w:rPr>
        <w:t xml:space="preserve">ρ</w:t>
      </w:r>
      <w:r>
        <w:rPr>
          <w:rFonts w:ascii="Times New Roman" w:hAnsi="Times New Roman" w:cs="Times New Roman"/>
          <w:lang w:val="en-GB"/>
        </w:rPr>
        <w:t xml:space="preserve"> = 7650 kg/m</w:t>
      </w:r>
      <w:r>
        <w:rPr>
          <w:rFonts w:ascii="Times New Roman" w:hAnsi="Times New Roman" w:cs="Times New Roman"/>
          <w:vertAlign w:val="superscript"/>
          <w:lang w:val="en-GB"/>
        </w:rPr>
        <w:t xml:space="preserve">3</w:t>
      </w:r>
      <w:r>
        <w:rPr>
          <w:rFonts w:ascii="Times New Roman" w:hAnsi="Times New Roman" w:cs="Times New Roman"/>
          <w:lang w:val="en-GB"/>
        </w:rPr>
        <w:t xml:space="preserve"> and </w:t>
      </w:r>
      <w:r>
        <w:rPr>
          <w:rFonts w:ascii="Times New Roman" w:hAnsi="Times New Roman" w:cs="Times New Roman"/>
          <w:i/>
          <w:iCs/>
          <w:lang w:val="en-GB"/>
        </w:rPr>
        <w:t xml:space="preserve">ν</w:t>
      </w:r>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1.3. Maximum tangential stress against peripheral speed for a solid disc, a disc with a central bore and a thin ring, for electrical steel (</w:t>
      </w:r>
      <w:r>
        <w:rPr>
          <w:rFonts w:ascii="Times New Roman" w:hAnsi="Times New Roman" w:cs="Times New Roman"/>
          <w:i/>
          <w:iCs/>
          <w:lang w:val="en-GB"/>
        </w:rPr>
        <w:t xml:space="preserve">ρ</w:t>
      </w:r>
      <w:r>
        <w:rPr>
          <w:rFonts w:ascii="Times New Roman" w:hAnsi="Times New Roman" w:cs="Times New Roman"/>
          <w:lang w:val="en-GB"/>
        </w:rPr>
        <w:t xml:space="preserve"> = 7650 kg/m</w:t>
      </w:r>
      <w:r>
        <w:rPr>
          <w:rFonts w:ascii="Times New Roman" w:hAnsi="Times New Roman" w:cs="Times New Roman"/>
          <w:vertAlign w:val="superscript"/>
          <w:lang w:val="en-GB"/>
        </w:rPr>
        <w:t xml:space="preserve">3</w:t>
      </w:r>
      <w:r>
        <w:rPr>
          <w:rFonts w:ascii="Times New Roman" w:hAnsi="Times New Roman" w:cs="Times New Roman"/>
          <w:lang w:val="en-GB"/>
        </w:rPr>
        <w:t xml:space="preserve">, </w:t>
      </w:r>
      <w:r>
        <w:rPr>
          <w:rFonts w:ascii="Times New Roman" w:hAnsi="Times New Roman" w:cs="Times New Roman"/>
          <w:i/>
          <w:iCs/>
          <w:lang w:val="en-GB"/>
        </w:rPr>
        <w:t xml:space="preserve">ν</w:t>
      </w:r>
      <w:r>
        <w:rPr>
          <w:rFonts w:ascii="Times New Roman" w:hAnsi="Times New Roman" w:cs="Times New Roman"/>
          <w:lang w:val="en-GB"/>
        </w:rPr>
        <w:t xml:space="preserve"> = 0.3). The central bore doubles the stress, which is the penalty paid by any shaft-mounted lamination stack.</w:t>
      </w:r>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r>
        <w:rPr>
          <w:rFonts w:ascii="Times New Roman" w:hAnsi="Times New Roman" w:cs="Times New Roman"/>
          <w:lang w:val="en-GB"/>
        </w:rPr>
        <w:t xml:space="preserve">Wherever possible,</w:t>
      </w:r>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r>
        <w:rPr>
          <w:rFonts w:ascii="Times New Roman" w:hAnsi="Times New Roman" w:cs="Times New Roman"/>
          <w:lang w:val="en-GB"/>
        </w:rPr>
        <w:t xml:space="preserve">should be maintained to get</w:t>
      </w:r>
      <w:r>
        <w:rPr>
          <w:rFonts w:ascii="Times New Roman" w:hAnsi="Times New Roman" w:cs="Times New Roman"/>
          <w:lang w:val="en-GB"/>
        </w:rPr>
        <w:t xml:space="preserve"> good enough current waveform and to avoid excessive subharmonics in the current. This demand, however, </w:t>
      </w:r>
      <w:r>
        <w:rPr>
          <w:rFonts w:ascii="Times New Roman" w:hAnsi="Times New Roman" w:cs="Times New Roman"/>
          <w:lang w:val="en-GB"/>
        </w:rPr>
        <w:t xml:space="preserve">raises the switching frequency</w:t>
      </w:r>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rFonts w:ascii="Times New Roman" w:hAnsi="Times New Roman" w:cs="Times New Roman"/>
          <w:lang w:val="en-GB"/>
        </w:rPr>
      </w:pPr>
      <w:r>
        <w:rPr>
          <w:rFonts w:ascii="Times New Roman" w:hAnsi="Times New Roman" w:cs="Times New Roman"/>
          <w:lang w:val="en-GB"/>
        </w:rPr>
        <w:t xml:space="preserve">It is worth putting a number on this conflict for the machine of Table 1.1. At a fundamental frequency of 1500 Hz, maintaining </w:t>
      </w:r>
      <w:r>
        <w:rPr>
          <w:rFonts w:ascii="Times New Roman" w:hAnsi="Times New Roman" w:cs="Times New Roman"/>
          <w:i/>
          <w:iCs/>
          <w:lang w:val="en-GB"/>
        </w:rPr>
        <w:t xml:space="preserve">m</w:t>
      </w:r>
      <w:r>
        <w:rPr>
          <w:rFonts w:ascii="Times New Roman" w:hAnsi="Times New Roman" w:cs="Times New Roman"/>
          <w:vertAlign w:val="subscript"/>
          <w:lang w:val="en-GB"/>
        </w:rPr>
        <w:t xml:space="preserve">f</w:t>
      </w:r>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r>
        <w:rPr>
          <w:rFonts w:ascii="Times New Roman" w:hAnsi="Times New Roman" w:cs="Times New Roman"/>
          <w:lang w:val="en-GB"/>
        </w:rPr>
        <w:t xml:space="preserve">the air-gap magnetic-flux density</w:t>
      </w:r>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rFonts w:ascii="Times New Roman" w:hAnsi="Times New Roman" w:cs="Times New Roman"/>
          <w:lang w:val="en-GB"/>
        </w:rPr>
      </w:pPr>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Pr>
          <w:rFonts w:ascii="Times New Roman" w:hAnsi="Times New Roman" w:cs="Times New Roman"/>
          <w:i/>
          <w:iCs/>
          <w:lang w:val="en-GB"/>
        </w:rPr>
        <w:t xml:space="preserve">D</w:t>
      </w:r>
      <w:r>
        <w:rPr>
          <w:rFonts w:ascii="Times New Roman" w:hAnsi="Times New Roman" w:cs="Times New Roman"/>
          <w:vertAlign w:val="subscript"/>
          <w:lang w:val="en-GB"/>
        </w:rPr>
        <w:t xml:space="preserve">r</w:t>
      </w:r>
      <w:r>
        <w:rPr>
          <w:rFonts w:ascii="Times New Roman" w:hAnsi="Times New Roman" w:cs="Times New Roman"/>
          <w:i/>
          <w:iCs/>
          <w:lang w:val="en-GB"/>
        </w:rPr>
        <w:t xml:space="preserve">l</w:t>
      </w:r>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rFonts w:ascii="Times New Roman" w:hAnsi="Times New Roman" w:cs="Times New Roman"/>
          <w:lang w:val="en-GB"/>
        </w:rPr>
      </w:pPr>
      <w:r>
        <w:rPr>
          <w:rFonts w:ascii="Times New Roman" w:hAnsi="Times New Roman" w:cs="Times New Roman"/>
          <w:lang w:val="en-GB"/>
        </w:rPr>
        <w:t xml:space="preserve">1.5.5 Reading the scaling table: which path is being followed</w:t>
      </w:r>
    </w:p>
    <w:p>
      <w:pPr>
        <w:rPr>
          <w:rFonts w:ascii="Times New Roman" w:hAnsi="Times New Roman" w:cs="Times New Roman"/>
          <w:lang w:val="en-GB"/>
        </w:rPr>
      </w:pPr>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pPr>
        <w:rPr>
          <w:rFonts w:ascii="Times New Roman" w:hAnsi="Times New Roman" w:cs="Times New Roman"/>
          <w:lang w:val="en-GB"/>
        </w:rPr>
      </w:pPr>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r>
        <w:rPr>
          <w:rFonts w:ascii="Times New Roman" w:hAnsi="Times New Roman" w:cs="Times New Roman"/>
          <w:vertAlign w:val="superscript"/>
          <w:lang w:val="en-GB"/>
        </w:rPr>
        <w:t xml:space="preserve">−1</w:t>
      </w:r>
      <w:r>
        <w:rPr>
          <w:rFonts w:ascii="Times New Roman" w:hAnsi="Times New Roman" w:cs="Times New Roman"/>
          <w:lang w:val="en-GB"/>
        </w:rPr>
        <w:t xml:space="preserve"> and the active length as Ω. Table 1.4 gives the result, and Figure 1.7 compares it with the fixed-geometry case of Table 1.3.</w:t>
      </w:r>
    </w:p>
    <w:p>
      <w:pPr>
        <w:rPr>
          <w:rFonts w:ascii="Times New Roman" w:hAnsi="Times New Roman" w:cs="Times New Roman"/>
          <w:lang w:val="en-GB"/>
        </w:rPr>
      </w:pPr>
      <w:r>
        <w:rPr>
          <w:rFonts w:ascii="Times New Roman" w:hAnsi="Times New Roman" w:cs="Times New Roman"/>
          <w:lang w:val="en-GB"/>
        </w:rPr>
        <w:t xml:space="preserve">Table 1.4 The same doubling of speed evaluated along the tip-speed-limited design path, at constant rated power</w:t>
      </w:r>
    </w:p>
    <w:tbl>
      <w:tblPr>
        <w:tblStyle w:val="TabloKlavuzu"/>
        <w:tblW w:w="0" w:type="auto"/>
        <w:tblLook w:val="04A0" w:firstRow="1" w:lastRow="0" w:firstColumn="1" w:lastColumn="0" w:noHBand="0" w:noVBand="1"/>
      </w:tblPr>
      <w:tblGrid>
        <w:gridCol w:w="3005"/>
        <w:gridCol w:w="2519"/>
        <w:gridCol w:w="3492"/>
      </w:tblGrid>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Quantity</w:t>
            </w:r>
          </w:p>
        </w:tc>
        <w:tc>
          <w:tcPr>
            <w:tcW w:w="2519" w:type="dxa"/>
          </w:tcPr>
          <w:p>
            <w:pPr>
              <w:rPr>
                <w:rFonts w:ascii="Times New Roman" w:hAnsi="Times New Roman" w:cs="Times New Roman"/>
                <w:b/>
                <w:bCs/>
                <w:lang w:val="en-GB"/>
              </w:rPr>
            </w:pPr>
            <w:r>
              <w:rPr>
                <w:rFonts w:ascii="Times New Roman" w:hAnsi="Times New Roman" w:cs="Times New Roman"/>
                <w:b/>
                <w:bCs/>
                <w:lang w:val="en-GB"/>
              </w:rPr>
              <w:t xml:space="preserve">Scaling on the tip-speed-limited path</w:t>
            </w:r>
          </w:p>
        </w:tc>
        <w:tc>
          <w:tcPr>
            <w:tcW w:w="3492" w:type="dxa"/>
          </w:tcPr>
          <w:p>
            <w:pPr>
              <w:rPr>
                <w:rFonts w:ascii="Times New Roman" w:hAnsi="Times New Roman" w:cs="Times New Roman"/>
                <w:b/>
                <w:bCs/>
                <w:lang w:val="en-GB"/>
              </w:rPr>
            </w:pPr>
            <w:r>
              <w:rPr>
                <w:rFonts w:ascii="Times New Roman" w:hAnsi="Times New Roman" w:cs="Times New Roman"/>
                <w:b/>
                <w:bCs/>
                <w:lang w:val="en-GB"/>
              </w:rPr>
              <w:t xml:space="preserve">Factor on doubling Ω</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Rotor diameter </w:t>
            </w:r>
            <w:r>
              <w:rPr>
                <w:rFonts w:ascii="Times New Roman" w:hAnsi="Times New Roman" w:cs="Times New Roman"/>
                <w:b/>
                <w:bCs/>
                <w:i/>
                <w:iCs/>
                <w:lang w:val="en-GB"/>
              </w:rPr>
              <w:t xml:space="preserve">D</w:t>
            </w:r>
            <w:r>
              <w:rPr>
                <w:rFonts w:ascii="Times New Roman" w:hAnsi="Times New Roman" w:cs="Times New Roman"/>
                <w:b/>
                <w:bCs/>
                <w:vertAlign w:val="subscript"/>
                <w:lang w:val="en-GB"/>
              </w:rPr>
              <w:t xml:space="preserve">r</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−1</w:t>
            </w:r>
          </w:p>
        </w:tc>
        <w:tc>
          <w:tcPr>
            <w:tcW w:w="3492" w:type="dxa"/>
          </w:tcPr>
          <w:p>
            <w:pPr>
              <w:rPr>
                <w:rFonts w:ascii="Times New Roman" w:hAnsi="Times New Roman" w:cs="Times New Roman"/>
                <w:lang w:val="en-GB"/>
              </w:rPr>
            </w:pPr>
            <w:r>
              <w:rPr>
                <w:rFonts w:ascii="Times New Roman" w:hAnsi="Times New Roman" w:cs="Times New Roman"/>
                <w:lang w:val="en-GB"/>
              </w:rPr>
              <w:t xml:space="preserve">0.50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Active length </w:t>
            </w:r>
            <w:r>
              <w:rPr>
                <w:rFonts w:ascii="Times New Roman" w:hAnsi="Times New Roman" w:cs="Times New Roman"/>
                <w:b/>
                <w:bCs/>
                <w:i/>
                <w:iCs/>
                <w:lang w:val="en-GB"/>
              </w:rPr>
              <w:t xml:space="preserve">l</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p>
        </w:tc>
        <w:tc>
          <w:tcPr>
            <w:tcW w:w="3492" w:type="dxa"/>
          </w:tcPr>
          <w:p>
            <w:pPr>
              <w:rPr>
                <w:rFonts w:ascii="Times New Roman" w:hAnsi="Times New Roman" w:cs="Times New Roman"/>
                <w:lang w:val="en-GB"/>
              </w:rPr>
            </w:pPr>
            <w:r>
              <w:rPr>
                <w:rFonts w:ascii="Times New Roman" w:hAnsi="Times New Roman" w:cs="Times New Roman"/>
                <w:lang w:val="en-GB"/>
              </w:rPr>
              <w:t xml:space="preserve">2.00</w:t>
            </w:r>
          </w:p>
        </w:tc>
      </w:tr>
      <w:tr>
        <w:trPr/>
        <w:tc>
          <w:tcPr>
            <w:tcW w:w="3005" w:type="dxa"/>
          </w:tcPr>
          <w:p>
            <w:pPr>
              <w:rPr>
                <w:rFonts w:ascii="Times New Roman" w:hAnsi="Times New Roman" w:cs="Times New Roman"/>
                <w:b/>
                <w:bCs/>
                <w:lang w:val="en-GB"/>
              </w:rPr>
            </w:pPr>
            <w:r>
              <w:rPr>
                <w:rFonts w:ascii="Times New Roman" w:hAnsi="Times New Roman" w:cs="Times New Roman"/>
                <w:b/>
                <w:bCs/>
                <w:i/>
                <w:iCs/>
                <w:lang w:val="en-GB"/>
              </w:rPr>
              <w:t xml:space="preserve">l</w:t>
            </w:r>
            <w:r>
              <w:rPr>
                <w:rFonts w:ascii="Times New Roman" w:hAnsi="Times New Roman" w:cs="Times New Roman"/>
                <w:b/>
                <w:bCs/>
                <w:lang w:val="en-GB"/>
              </w:rPr>
              <w:t xml:space="preserve">/</w:t>
            </w:r>
            <w:r>
              <w:rPr>
                <w:rFonts w:ascii="Times New Roman" w:hAnsi="Times New Roman" w:cs="Times New Roman"/>
                <w:b/>
                <w:bCs/>
                <w:i/>
                <w:iCs/>
                <w:lang w:val="en-GB"/>
              </w:rPr>
              <w:t xml:space="preserve">D</w:t>
            </w:r>
            <w:r>
              <w:rPr>
                <w:rFonts w:ascii="Times New Roman" w:hAnsi="Times New Roman" w:cs="Times New Roman"/>
                <w:b/>
                <w:bCs/>
                <w:vertAlign w:val="subscript"/>
                <w:lang w:val="en-GB"/>
              </w:rPr>
              <w:t xml:space="preserve">r</w:t>
            </w:r>
            <w:r>
              <w:rPr>
                <w:rFonts w:ascii="Times New Roman" w:hAnsi="Times New Roman" w:cs="Times New Roman"/>
                <w:b/>
                <w:bCs/>
                <w:lang w:val="en-GB"/>
              </w:rPr>
              <w:t xml:space="preserve"> ratio</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2</w:t>
            </w:r>
          </w:p>
        </w:tc>
        <w:tc>
          <w:tcPr>
            <w:tcW w:w="3492" w:type="dxa"/>
          </w:tcPr>
          <w:p>
            <w:pPr>
              <w:rPr>
                <w:rFonts w:ascii="Times New Roman" w:hAnsi="Times New Roman" w:cs="Times New Roman"/>
                <w:lang w:val="en-GB"/>
              </w:rPr>
            </w:pPr>
            <w:r>
              <w:rPr>
                <w:rFonts w:ascii="Times New Roman" w:hAnsi="Times New Roman" w:cs="Times New Roman"/>
                <w:lang w:val="en-GB"/>
              </w:rPr>
              <w:t xml:space="preserve">4.00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Active volume</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−1</w:t>
            </w:r>
          </w:p>
        </w:tc>
        <w:tc>
          <w:tcPr>
            <w:tcW w:w="3492" w:type="dxa"/>
          </w:tcPr>
          <w:p>
            <w:pPr>
              <w:rPr>
                <w:rFonts w:ascii="Times New Roman" w:hAnsi="Times New Roman" w:cs="Times New Roman"/>
                <w:lang w:val="en-GB"/>
              </w:rPr>
            </w:pPr>
            <w:r>
              <w:rPr>
                <w:rFonts w:ascii="Times New Roman" w:hAnsi="Times New Roman" w:cs="Times New Roman"/>
                <w:lang w:val="en-GB"/>
              </w:rPr>
              <w:t xml:space="preserve">0.50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Centrifugal stress </w:t>
            </w:r>
            <w:r>
              <w:rPr>
                <w:rFonts w:ascii="Times New Roman" w:hAnsi="Times New Roman" w:cs="Times New Roman"/>
                <w:b/>
                <w:bCs/>
                <w:i/>
                <w:iCs/>
                <w:lang w:val="en-GB"/>
              </w:rPr>
              <w:t xml:space="preserve">σ</w:t>
            </w:r>
            <w:r>
              <w:rPr>
                <w:rFonts w:ascii="Times New Roman" w:hAnsi="Times New Roman" w:cs="Times New Roman"/>
                <w:b/>
                <w:bCs/>
                <w:vertAlign w:val="subscript"/>
                <w:lang w:val="en-GB"/>
              </w:rPr>
              <w:t xml:space="preserve">mec</w:t>
            </w:r>
          </w:p>
        </w:tc>
        <w:tc>
          <w:tcPr>
            <w:tcW w:w="2519" w:type="dxa"/>
          </w:tcPr>
          <w:p>
            <w:pPr>
              <w:rPr>
                <w:rFonts w:ascii="Times New Roman" w:hAnsi="Times New Roman" w:cs="Times New Roman"/>
                <w:lang w:val="en-GB"/>
              </w:rPr>
            </w:pPr>
            <w:r>
              <w:rPr>
                <w:rFonts w:ascii="Times New Roman" w:hAnsi="Times New Roman" w:cs="Times New Roman"/>
                <w:lang w:val="en-GB"/>
              </w:rPr>
              <w:t xml:space="preserve">constant</w:t>
            </w:r>
          </w:p>
        </w:tc>
        <w:tc>
          <w:tcPr>
            <w:tcW w:w="3492" w:type="dxa"/>
          </w:tcPr>
          <w:p>
            <w:pPr>
              <w:rPr>
                <w:rFonts w:ascii="Times New Roman" w:hAnsi="Times New Roman" w:cs="Times New Roman"/>
                <w:lang w:val="en-GB"/>
              </w:rPr>
            </w:pPr>
            <w:r>
              <w:rPr>
                <w:rFonts w:ascii="Times New Roman" w:hAnsi="Times New Roman" w:cs="Times New Roman"/>
                <w:lang w:val="en-GB"/>
              </w:rPr>
              <w:t xml:space="preserve">1.00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Iron loss </w:t>
            </w:r>
            <w:r>
              <w:rPr>
                <w:rFonts w:ascii="Times New Roman" w:hAnsi="Times New Roman" w:cs="Times New Roman"/>
                <w:b/>
                <w:bCs/>
                <w:i/>
                <w:iCs/>
                <w:lang w:val="en-GB"/>
              </w:rPr>
              <w:t xml:space="preserve">P</w:t>
            </w:r>
            <w:r>
              <w:rPr>
                <w:rFonts w:ascii="Times New Roman" w:hAnsi="Times New Roman" w:cs="Times New Roman"/>
                <w:b/>
                <w:bCs/>
                <w:vertAlign w:val="subscript"/>
                <w:lang w:val="en-GB"/>
              </w:rPr>
              <w:t xml:space="preserve">Fe</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p>
        </w:tc>
        <w:tc>
          <w:tcPr>
            <w:tcW w:w="3492" w:type="dxa"/>
          </w:tcPr>
          <w:p>
            <w:pPr>
              <w:rPr>
                <w:rFonts w:ascii="Times New Roman" w:hAnsi="Times New Roman" w:cs="Times New Roman"/>
                <w:lang w:val="en-GB"/>
              </w:rPr>
            </w:pPr>
            <w:r>
              <w:rPr>
                <w:rFonts w:ascii="Times New Roman" w:hAnsi="Times New Roman" w:cs="Times New Roman"/>
                <w:lang w:val="en-GB"/>
              </w:rPr>
              <w:t xml:space="preserve">2.00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Windage loss </w:t>
            </w:r>
            <w:r>
              <w:rPr>
                <w:rFonts w:ascii="Times New Roman" w:hAnsi="Times New Roman" w:cs="Times New Roman"/>
                <w:b/>
                <w:bCs/>
                <w:i/>
                <w:iCs/>
                <w:lang w:val="en-GB"/>
              </w:rPr>
              <w:t xml:space="preserve">P</w:t>
            </w:r>
            <w:r>
              <w:rPr>
                <w:rFonts w:ascii="Times New Roman" w:hAnsi="Times New Roman" w:cs="Times New Roman"/>
                <w:b/>
                <w:bCs/>
                <w:vertAlign w:val="subscript"/>
                <w:lang w:val="en-GB"/>
              </w:rPr>
              <w:t xml:space="preserve">wnd</w:t>
            </w:r>
          </w:p>
        </w:tc>
        <w:tc>
          <w:tcPr>
            <w:tcW w:w="2519" w:type="dxa"/>
          </w:tcPr>
          <w:p>
            <w:pPr>
              <w:rPr>
                <w:rFonts w:ascii="Times New Roman" w:hAnsi="Times New Roman" w:cs="Times New Roman"/>
                <w:lang w:val="en-GB"/>
              </w:rPr>
            </w:pPr>
            <w:r>
              <w:rPr>
                <w:rFonts w:ascii="Times New Roman" w:hAnsi="Times New Roman" w:cs="Times New Roman"/>
                <w:lang w:val="en-GB"/>
              </w:rPr>
              <w:t xml:space="preserve">constant</w:t>
            </w:r>
          </w:p>
        </w:tc>
        <w:tc>
          <w:tcPr>
            <w:tcW w:w="3492" w:type="dxa"/>
          </w:tcPr>
          <w:p>
            <w:pPr>
              <w:rPr>
                <w:rFonts w:ascii="Times New Roman" w:hAnsi="Times New Roman" w:cs="Times New Roman"/>
                <w:lang w:val="en-GB"/>
              </w:rPr>
            </w:pPr>
            <w:r>
              <w:rPr>
                <w:rFonts w:ascii="Times New Roman" w:hAnsi="Times New Roman" w:cs="Times New Roman"/>
                <w:lang w:val="en-GB"/>
              </w:rPr>
              <w:t xml:space="preserve">1.00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Rotor surface area</w:t>
            </w:r>
          </w:p>
        </w:tc>
        <w:tc>
          <w:tcPr>
            <w:tcW w:w="2519" w:type="dxa"/>
          </w:tcPr>
          <w:p>
            <w:pPr>
              <w:rPr>
                <w:rFonts w:ascii="Times New Roman" w:hAnsi="Times New Roman" w:cs="Times New Roman"/>
                <w:lang w:val="en-GB"/>
              </w:rPr>
            </w:pPr>
            <w:r>
              <w:rPr>
                <w:rFonts w:ascii="Times New Roman" w:hAnsi="Times New Roman" w:cs="Times New Roman"/>
                <w:lang w:val="en-GB"/>
              </w:rPr>
              <w:t xml:space="preserve">constant</w:t>
            </w:r>
          </w:p>
        </w:tc>
        <w:tc>
          <w:tcPr>
            <w:tcW w:w="3492" w:type="dxa"/>
          </w:tcPr>
          <w:p>
            <w:pPr>
              <w:rPr>
                <w:rFonts w:ascii="Times New Roman" w:hAnsi="Times New Roman" w:cs="Times New Roman"/>
                <w:lang w:val="en-GB"/>
              </w:rPr>
            </w:pPr>
            <w:r>
              <w:rPr>
                <w:rFonts w:ascii="Times New Roman" w:hAnsi="Times New Roman" w:cs="Times New Roman"/>
                <w:lang w:val="en-GB"/>
              </w:rPr>
              <w:t xml:space="preserve">1.00</w:t>
            </w:r>
          </w:p>
        </w:tc>
      </w:tr>
      <w:tr>
        <w:trPr/>
        <w:tc>
          <w:tcPr>
            <w:tcW w:w="3005" w:type="dxa"/>
          </w:tcPr>
          <w:p>
            <w:pPr>
              <w:rPr>
                <w:rFonts w:ascii="Times New Roman" w:hAnsi="Times New Roman" w:cs="Times New Roman"/>
                <w:b/>
                <w:bCs/>
                <w:lang w:val="en-GB"/>
              </w:rPr>
            </w:pPr>
            <w:r>
              <w:rPr>
                <w:rFonts w:ascii="Times New Roman" w:hAnsi="Times New Roman" w:cs="Times New Roman"/>
                <w:b/>
                <w:bCs/>
                <w:lang w:val="en-GB"/>
              </w:rPr>
              <w:t xml:space="preserve">First critical speed </w:t>
            </w:r>
            <w:r>
              <w:rPr>
                <w:rFonts w:ascii="Times New Roman" w:hAnsi="Times New Roman" w:cs="Times New Roman"/>
                <w:b/>
                <w:bCs/>
                <w:i/>
                <w:iCs/>
                <w:lang w:val="en-GB"/>
              </w:rPr>
              <w:t xml:space="preserve">n</w:t>
            </w:r>
            <w:r>
              <w:rPr>
                <w:rFonts w:ascii="Times New Roman" w:hAnsi="Times New Roman" w:cs="Times New Roman"/>
                <w:b/>
                <w:bCs/>
                <w:vertAlign w:val="subscript"/>
                <w:lang w:val="en-GB"/>
              </w:rPr>
              <w:t xml:space="preserve">cr</w:t>
            </w:r>
          </w:p>
        </w:tc>
        <w:tc>
          <w:tcPr>
            <w:tcW w:w="2519" w:type="dxa"/>
          </w:tcPr>
          <w:p>
            <w:pPr>
              <w:rPr>
                <w:rFonts w:ascii="Times New Roman" w:hAnsi="Times New Roman" w:cs="Times New Roman"/>
                <w:lang w:val="en-GB"/>
              </w:rPr>
            </w:pPr>
            <w:r>
              <w:rPr>
                <w:rFonts w:ascii="Times New Roman" w:hAnsi="Times New Roman" w:cs="Times New Roman"/>
                <w:lang w:val="en-GB"/>
              </w:rPr>
              <w:t xml:space="preserve">∝ Ω</w:t>
            </w:r>
            <w:r>
              <w:rPr>
                <w:rFonts w:ascii="Times New Roman" w:hAnsi="Times New Roman" w:cs="Times New Roman"/>
                <w:vertAlign w:val="superscript"/>
                <w:lang w:val="en-GB"/>
              </w:rPr>
              <w:t xml:space="preserve">−3</w:t>
            </w:r>
          </w:p>
        </w:tc>
        <w:tc>
          <w:tcPr>
            <w:tcW w:w="3492" w:type="dxa"/>
          </w:tcPr>
          <w:p>
            <w:pPr>
              <w:rPr>
                <w:rFonts w:ascii="Times New Roman" w:hAnsi="Times New Roman" w:cs="Times New Roman"/>
                <w:lang w:val="en-GB"/>
              </w:rPr>
            </w:pPr>
            <w:r>
              <w:rPr>
                <w:rFonts w:ascii="Times New Roman" w:hAnsi="Times New Roman" w:cs="Times New Roman"/>
                <w:lang w:val="en-GB"/>
              </w:rPr>
              <w:t xml:space="preserve">0.125</w:t>
            </w:r>
          </w:p>
        </w:tc>
      </w:tr>
    </w:tbl>
    <w:p>
      <w:pPr>
        <w:spacing w:after="0"/>
        <w:rPr>
          <w:rFonts w:ascii="Times New Roman" w:hAnsi="Times New Roman" w:cs="Times New Roman"/>
          <w:lang w:val="en-GB"/>
        </w:rPr>
      </w:pPr>
    </w:p>
    <w:p>
      <w:pPr>
        <w:rPr>
          <w:rFonts w:ascii="Times New Roman" w:hAnsi="Times New Roman" w:cs="Times New Roman"/>
          <w:lang w:val="en-GB"/>
        </w:rPr>
      </w:pPr>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r>
        <w:rPr>
          <w:rFonts w:ascii="Times New Roman" w:hAnsi="Times New Roman" w:cs="Times New Roman"/>
          <w:i/>
          <w:iCs/>
          <w:lang w:val="en-GB"/>
        </w:rPr>
        <w:t xml:space="preserve">D</w:t>
      </w:r>
      <w:r>
        <w:rPr>
          <w:rFonts w:ascii="Times New Roman" w:hAnsi="Times New Roman" w:cs="Times New Roman"/>
          <w:vertAlign w:val="subscript"/>
          <w:lang w:val="en-GB"/>
        </w:rPr>
        <w:t xml:space="preserve">r</w:t>
      </w:r>
      <w:r>
        <w:rPr>
          <w:rFonts w:ascii="Times New Roman" w:hAnsi="Times New Roman" w:cs="Times New Roman"/>
          <w:i/>
          <w:iCs/>
          <w:lang w:val="en-GB"/>
        </w:rPr>
        <w:t xml:space="preserve">l</w:t>
      </w:r>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Pr>
          <w:rFonts w:ascii="Times New Roman" w:hAnsi="Times New Roman" w:cs="Times New Roman"/>
          <w:i/>
          <w:iCs/>
          <w:lang w:val="en-GB"/>
        </w:rPr>
        <w:t xml:space="preserve">f</w:t>
      </w:r>
      <w:r>
        <w:rPr>
          <w:rFonts w:ascii="Times New Roman" w:hAnsi="Times New Roman" w:cs="Times New Roman"/>
          <w:vertAlign w:val="superscript"/>
          <w:lang w:val="en-GB"/>
        </w:rPr>
        <w:t xml:space="preserve">2</w:t>
      </w:r>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p>
    <w:p>
      <w:pPr>
        <w:pStyle w:val="Balk3"/>
        <w:rPr>
          <w:rFonts w:ascii="Times New Roman" w:hAnsi="Times New Roman" w:cs="Times New Roman"/>
          <w:lang w:val="en-GB"/>
        </w:rPr>
      </w:pPr>
      <w:r>
        <w:rPr>
          <w:rFonts w:ascii="Times New Roman" w:hAnsi="Times New Roman" w:cs="Times New Roman"/>
          <w:lang w:val="en-GB"/>
        </w:rPr>
        <w:t xml:space="preserve">1.5.6 Rotordynamic scaling: where the returns actually stop</w:t>
      </w:r>
    </w:p>
    <w:p>
      <w:pPr>
        <w:rPr>
          <w:rFonts w:ascii="Times New Roman" w:hAnsi="Times New Roman" w:cs="Times New Roman"/>
          <w:lang w:val="en-GB"/>
        </w:rPr>
      </w:pPr>
      <w:r>
        <w:rPr>
          <w:rFonts w:ascii="Times New Roman" w:hAnsi="Times New Roman" w:cs="Times New Roman"/>
          <w:lang w:val="en-GB"/>
        </w:rPr>
        <w:t xml:space="preserve">The last row of Table 1.4 deserves a section of its own, because it identifies the constraint that in practice terminates the pursuit of higher speed.</w:t>
      </w:r>
    </w:p>
    <w:p>
      <w:pPr>
        <w:rPr>
          <w:rFonts w:ascii="Times New Roman" w:hAnsi="Times New Roman" w:cs="Times New Roman"/>
          <w:lang w:val="en-GB"/>
        </w:rPr>
      </w:pPr>
      <w:r>
        <w:rPr>
          <w:rFonts w:ascii="Times New Roman" w:hAnsi="Times New Roman" w:cs="Times New Roman"/>
          <w:lang w:val="en-GB"/>
        </w:rPr>
        <w:t xml:space="preserve">Section 1.3.2 established that high-speed rotors become long and thin. Treating the rotor as a uniform beam, the first bending critical speed scales as</w:t>
      </w:r>
    </w:p>
    <w:p>
      <w:pPr>
        <w:ind w:firstLine="1304"/>
        <w:rPr>
          <w:rFonts w:ascii="Times New Roman" w:hAnsi="Times New Roman" w:cs="Times New Roman"/>
          <w:lang w:val="en-GB"/>
        </w:rPr>
      </w:pPr>
      <w:r>
        <w:rPr>
          <w:rFonts w:ascii="Times New Roman" w:hAnsi="Times New Roman" w:cs="Times New Roman"/>
          <w:i/>
          <w:iCs/>
          <w:lang w:val="en-GB"/>
        </w:rPr>
        <w:t xml:space="preserve">n</w:t>
      </w:r>
      <w:r>
        <w:rPr>
          <w:rFonts w:ascii="Times New Roman" w:hAnsi="Times New Roman" w:cs="Times New Roman"/>
          <w:vertAlign w:val="subscript"/>
          <w:lang w:val="en-GB"/>
        </w:rPr>
        <w:t xml:space="preserve">cr</w:t>
      </w:r>
      <w:r>
        <w:rPr>
          <w:rFonts w:ascii="Times New Roman" w:hAnsi="Times New Roman" w:cs="Times New Roman"/>
          <w:lang w:val="en-GB"/>
        </w:rPr>
        <w:t xml:space="preserve"> ∝ </w:t>
      </w:r>
      <w:r>
        <w:rPr>
          <w:rFonts w:ascii="Times New Roman" w:hAnsi="Times New Roman" w:cs="Times New Roman"/>
          <w:i/>
          <w:iCs/>
          <w:lang w:val="en-GB"/>
        </w:rPr>
        <w:t xml:space="preserve">r</w:t>
      </w:r>
      <w:r>
        <w:rPr>
          <w:rFonts w:ascii="Times New Roman" w:hAnsi="Times New Roman" w:cs="Times New Roman"/>
          <w:vertAlign w:val="subscript"/>
          <w:lang w:val="en-GB"/>
        </w:rPr>
        <w:t xml:space="preserve">r</w:t>
      </w:r>
      <w:r>
        <w:rPr>
          <w:rFonts w:ascii="Times New Roman" w:hAnsi="Times New Roman" w:cs="Times New Roman"/>
          <w:lang w:val="en-GB"/>
        </w:rPr>
        <w:t xml:space="preserve"> / </w:t>
      </w:r>
      <w:r>
        <w:rPr>
          <w:rFonts w:ascii="Times New Roman" w:hAnsi="Times New Roman" w:cs="Times New Roman"/>
          <w:i/>
          <w:iCs/>
          <w:lang w:val="en-GB"/>
        </w:rPr>
        <w:t xml:space="preserve">l</w:t>
      </w:r>
      <w:r>
        <w:rPr>
          <w:rFonts w:ascii="Times New Roman" w:hAnsi="Times New Roman" w:cs="Times New Roman"/>
          <w:vertAlign w:val="superscript"/>
          <w:lang w:val="en-GB"/>
        </w:rPr>
        <w:t xml:space="preserve">2</w:t>
      </w:r>
    </w:p>
    <w:p>
      <w:pPr>
        <w:rPr>
          <w:rFonts w:ascii="Times New Roman" w:hAnsi="Times New Roman" w:cs="Times New Roman"/>
          <w:lang w:val="en-GB"/>
        </w:rPr>
      </w:pPr>
      <w:r>
        <w:rPr>
          <w:rFonts w:ascii="Times New Roman" w:hAnsi="Times New Roman" w:cs="Times New Roman"/>
          <w:lang w:val="en-GB"/>
        </w:rPr>
        <w:t xml:space="preserve">Substituting the tip-speed-limited path used for Table 1.4, with </w:t>
      </w:r>
      <w:r>
        <w:rPr>
          <w:rFonts w:ascii="Times New Roman" w:hAnsi="Times New Roman" w:cs="Times New Roman"/>
          <w:i/>
          <w:iCs/>
          <w:lang w:val="en-GB"/>
        </w:rPr>
        <w:t xml:space="preserve">r</w:t>
      </w:r>
      <w:r>
        <w:rPr>
          <w:rFonts w:ascii="Times New Roman" w:hAnsi="Times New Roman" w:cs="Times New Roman"/>
          <w:vertAlign w:val="subscript"/>
          <w:lang w:val="en-GB"/>
        </w:rPr>
        <w:t xml:space="preserve">r</w:t>
      </w:r>
      <w:r>
        <w:rPr>
          <w:rFonts w:ascii="Times New Roman" w:hAnsi="Times New Roman" w:cs="Times New Roman"/>
          <w:lang w:val="en-GB"/>
        </w:rPr>
        <w:t xml:space="preserve"> ∝ Ω</w:t>
      </w:r>
      <w:r>
        <w:rPr>
          <w:rFonts w:ascii="Times New Roman" w:hAnsi="Times New Roman" w:cs="Times New Roman"/>
          <w:vertAlign w:val="superscript"/>
          <w:lang w:val="en-GB"/>
        </w:rPr>
        <w:t xml:space="preserve">−1</w:t>
      </w:r>
      <w:r>
        <w:rPr>
          <w:rFonts w:ascii="Times New Roman" w:hAnsi="Times New Roman" w:cs="Times New Roman"/>
          <w:lang w:val="en-GB"/>
        </w:rPr>
        <w:t xml:space="preserve"> and </w:t>
      </w:r>
      <w:r>
        <w:rPr>
          <w:rFonts w:ascii="Times New Roman" w:hAnsi="Times New Roman" w:cs="Times New Roman"/>
          <w:i/>
          <w:iCs/>
          <w:lang w:val="en-GB"/>
        </w:rPr>
        <w:t xml:space="preserve">l</w:t>
      </w:r>
      <w:r>
        <w:rPr>
          <w:rFonts w:ascii="Times New Roman" w:hAnsi="Times New Roman" w:cs="Times New Roman"/>
          <w:lang w:val="en-GB"/>
        </w:rPr>
        <w:t xml:space="preserve"> ∝ Ω,</w:t>
      </w:r>
    </w:p>
    <w:p>
      <w:pPr>
        <w:ind w:firstLine="1304"/>
        <w:rPr>
          <w:rFonts w:ascii="Times New Roman" w:hAnsi="Times New Roman" w:cs="Times New Roman"/>
          <w:lang w:val="en-GB"/>
        </w:rPr>
      </w:pPr>
      <w:r>
        <w:rPr>
          <w:rFonts w:ascii="Times New Roman" w:hAnsi="Times New Roman" w:cs="Times New Roman"/>
          <w:i/>
          <w:iCs/>
          <w:lang w:val="en-GB"/>
        </w:rPr>
        <w:t xml:space="preserve">n</w:t>
      </w:r>
      <w:r>
        <w:rPr>
          <w:rFonts w:ascii="Times New Roman" w:hAnsi="Times New Roman" w:cs="Times New Roman"/>
          <w:vertAlign w:val="subscript"/>
          <w:lang w:val="en-GB"/>
        </w:rPr>
        <w:t xml:space="preserve">cr</w:t>
      </w:r>
      <w:r>
        <w:rPr>
          <w:rFonts w:ascii="Times New Roman" w:hAnsi="Times New Roman" w:cs="Times New Roman"/>
          <w:lang w:val="en-GB"/>
        </w:rPr>
        <w:t xml:space="preserve"> ∝ Ω</w:t>
      </w:r>
      <w:r>
        <w:rPr>
          <w:rFonts w:ascii="Times New Roman" w:hAnsi="Times New Roman" w:cs="Times New Roman"/>
          <w:vertAlign w:val="superscript"/>
          <w:lang w:val="en-GB"/>
        </w:rPr>
        <w:t xml:space="preserve">−1</w:t>
      </w:r>
      <w:r>
        <w:rPr>
          <w:rFonts w:ascii="Times New Roman" w:hAnsi="Times New Roman" w:cs="Times New Roman"/>
          <w:lang w:val="en-GB"/>
        </w:rPr>
        <w:t xml:space="preserve"> / Ω</w:t>
      </w:r>
      <w:r>
        <w:rPr>
          <w:rFonts w:ascii="Times New Roman" w:hAnsi="Times New Roman" w:cs="Times New Roman"/>
          <w:vertAlign w:val="superscript"/>
          <w:lang w:val="en-GB"/>
        </w:rPr>
        <w:t xml:space="preserve">2</w:t>
      </w:r>
      <w:r>
        <w:rPr>
          <w:rFonts w:ascii="Times New Roman" w:hAnsi="Times New Roman" w:cs="Times New Roman"/>
          <w:lang w:val="en-GB"/>
        </w:rPr>
        <w:t xml:space="preserve"> = Ω</w:t>
      </w:r>
      <w:r>
        <w:rPr>
          <w:rFonts w:ascii="Times New Roman" w:hAnsi="Times New Roman" w:cs="Times New Roman"/>
          <w:vertAlign w:val="superscript"/>
          <w:lang w:val="en-GB"/>
        </w:rPr>
        <w:t xml:space="preserve">−3</w:t>
      </w:r>
    </w:p>
    <w:p>
      <w:pPr>
        <w:rPr>
          <w:rFonts w:ascii="Times New Roman" w:hAnsi="Times New Roman" w:cs="Times New Roman"/>
          <w:lang w:val="en-GB"/>
        </w:rPr>
      </w:pPr>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p>
    <w:p>
      <w:pPr>
        <w:ind w:firstLine="1304"/>
        <w:rPr>
          <w:rFonts w:ascii="Times New Roman" w:hAnsi="Times New Roman" w:cs="Times New Roman"/>
          <w:lang w:val="en-GB"/>
        </w:rPr>
      </w:pPr>
      <w:r>
        <w:rPr>
          <w:rFonts w:ascii="Times New Roman" w:hAnsi="Times New Roman" w:cs="Times New Roman"/>
          <w:i/>
          <w:iCs/>
          <w:lang w:val="en-GB"/>
        </w:rPr>
        <w:t xml:space="preserve">n</w:t>
      </w:r>
      <w:r>
        <w:rPr>
          <w:rFonts w:ascii="Times New Roman" w:hAnsi="Times New Roman" w:cs="Times New Roman"/>
          <w:vertAlign w:val="subscript"/>
          <w:lang w:val="en-GB"/>
        </w:rPr>
        <w:t xml:space="preserve">op</w:t>
      </w:r>
      <w:r>
        <w:rPr>
          <w:rFonts w:ascii="Times New Roman" w:hAnsi="Times New Roman" w:cs="Times New Roman"/>
          <w:lang w:val="en-GB"/>
        </w:rPr>
        <w:t xml:space="preserve"> / </w:t>
      </w:r>
      <w:r>
        <w:rPr>
          <w:rFonts w:ascii="Times New Roman" w:hAnsi="Times New Roman" w:cs="Times New Roman"/>
          <w:i/>
          <w:iCs/>
          <w:lang w:val="en-GB"/>
        </w:rPr>
        <w:t xml:space="preserve">n</w:t>
      </w:r>
      <w:r>
        <w:rPr>
          <w:rFonts w:ascii="Times New Roman" w:hAnsi="Times New Roman" w:cs="Times New Roman"/>
          <w:vertAlign w:val="subscript"/>
          <w:lang w:val="en-GB"/>
        </w:rPr>
        <w:t xml:space="preserve">cr</w:t>
      </w:r>
      <w:r>
        <w:rPr>
          <w:rFonts w:ascii="Times New Roman" w:hAnsi="Times New Roman" w:cs="Times New Roman"/>
          <w:lang w:val="en-GB"/>
        </w:rPr>
        <w:t xml:space="preserve"> ∝ Ω</w:t>
      </w:r>
      <w:r>
        <w:rPr>
          <w:rFonts w:ascii="Times New Roman" w:hAnsi="Times New Roman" w:cs="Times New Roman"/>
          <w:vertAlign w:val="superscript"/>
          <w:lang w:val="en-GB"/>
        </w:rPr>
        <w:t xml:space="preserve">4</w:t>
      </w:r>
    </w:p>
    <w:p>
      <w:pPr>
        <w:rPr>
          <w:rFonts w:ascii="Times New Roman" w:hAnsi="Times New Roman" w:cs="Times New Roman"/>
          <w:lang w:val="en-GB"/>
        </w:rPr>
      </w:pPr>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pPr>
        <w:rPr>
          <w:rFonts w:ascii="Times New Roman" w:hAnsi="Times New Roman" w:cs="Times New Roman"/>
          <w:lang w:val="en-GB"/>
        </w:rPr>
      </w:pPr>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p>
    <w:p>
      <w:pPr>
        <w:rPr>
          <w:rFonts w:ascii="Times New Roman" w:hAnsi="Times New Roman" w:cs="Times New Roman"/>
          <w:lang w:val="en-GB"/>
        </w:rPr>
      </w:pPr>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7" name="Picture 900000007"/>
            <wp:cNvGraphicFramePr>
              <a:graphicFrameLocks noChangeAspect="1"/>
            </wp:cNvGraphicFramePr>
            <a:graphic>
              <a:graphicData uri="http://schemas.openxmlformats.org/drawingml/2006/picture">
                <pic:pic>
                  <pic:nvPicPr>
                    <pic:cNvPr id="900000007" name="fig_trilemma.png"/>
                    <pic:cNvPicPr/>
                  </pic:nvPicPr>
                  <pic:blipFill>
                    <a:blip r:embed="rId107"/>
                    <a:stretch>
                      <a:fillRect/>
                    </a:stretch>
                  </pic:blipFill>
                  <pic:spPr>
                    <a:xfrm>
                      <a:off x="0" y="0"/>
                      <a:ext cx="5731510" cy="5028387"/>
                    </a:xfrm>
                    <a:prstGeom prst="rect">
                      <a:avLst/>
                    </a:prstGeom>
                  </pic:spPr>
                </pic:pic>
              </a:graphicData>
            </a:graphic>
          </wp:inline>
        </w:drawing>
      </w:r>
    </w:p>
    <w:p w14:paraId="3FA3F119" w14:textId="008629B9" w:rsidR="001151D3" w:rsidRPr="001D4F32" w:rsidRDefault="001151D3" w:rsidP="00FD0ED2">
      <w:pPr>
        <w:rPr>
          <w:rFonts w:ascii="Times New Roman" w:hAnsi="Times New Roman" w:cs="Times New Roman"/>
          <w:lang w:val="en-GB"/>
        </w:rPr>
      </w:pPr>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pPr>
        <w:rPr>
          <w:rFonts w:ascii="Times New Roman" w:hAnsi="Times New Roman" w:cs="Times New Roman"/>
          <w:lang w:val="en-GB"/>
        </w:rPr>
      </w:pPr>
      <w:r>
        <w:rPr>
          <w:rFonts w:ascii="Times New Roman" w:hAnsi="Times New Roman" w:cs="Times New Roman"/>
          <w:lang w:val="en-GB"/>
        </w:rPr>
        <w:t xml:space="preserve">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pPr>
        <w:rPr>
          <w:rFonts w:ascii="Times New Roman" w:hAnsi="Times New Roman" w:cs="Times New Roman"/>
          <w:b/>
          <w:bCs/>
          <w:lang w:val="en-GB"/>
        </w:rPr>
      </w:pPr>
      <w:r>
        <w:rPr>
          <w:rFonts w:ascii="Times New Roman" w:hAnsi="Times New Roman" w:cs="Times New Roman"/>
          <w:b/>
          <w:bCs/>
          <w:lang w:val="en-GB"/>
        </w:rPr>
        <w:t xml:space="preserve">Part I: The High-Speed Design Space</w:t>
      </w:r>
    </w:p>
    <w:p>
      <w:pPr>
        <w:rPr>
          <w:rFonts w:ascii="Times New Roman" w:hAnsi="Times New Roman" w:cs="Times New Roman"/>
          <w:lang w:val="en-GB"/>
        </w:rPr>
      </w:pPr>
      <w:r>
        <w:rPr>
          <w:rFonts w:ascii="Times New Roman" w:hAnsi="Times New Roman" w:cs="Times New Roman"/>
          <w:lang w:val="en-GB"/>
        </w:rPr>
        <w:t xml:space="preserve">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pPr>
        <w:rPr>
          <w:rFonts w:ascii="Times New Roman" w:hAnsi="Times New Roman" w:cs="Times New Roman"/>
          <w:b/>
          <w:bCs/>
          <w:lang w:val="en-GB"/>
        </w:rPr>
      </w:pPr>
      <w:r>
        <w:rPr>
          <w:rFonts w:ascii="Times New Roman" w:hAnsi="Times New Roman" w:cs="Times New Roman"/>
          <w:b/>
          <w:bCs/>
          <w:lang w:val="en-GB"/>
        </w:rPr>
        <w:t xml:space="preserve">Part II: The Constraints that Bind First</w:t>
      </w:r>
    </w:p>
    <w:p>
      <w:pPr>
        <w:rPr>
          <w:rFonts w:ascii="Times New Roman" w:hAnsi="Times New Roman" w:cs="Times New Roman"/>
          <w:lang w:val="en-GB"/>
        </w:rPr>
      </w:pPr>
      <w:r>
        <w:rPr>
          <w:rFonts w:ascii="Times New Roman" w:hAnsi="Times New Roman" w:cs="Times New Roman"/>
          <w:lang w:val="en-GB"/>
        </w:rPr>
        <w:t xml:space="preserve">Chapter 4 addresses the </w:t>
      </w:r>
      <w:r>
        <w:rPr>
          <w:rFonts w:ascii="Times New Roman" w:hAnsi="Times New Roman" w:cs="Times New Roman"/>
          <w:i/>
          <w:iCs/>
          <w:lang w:val="en-GB"/>
        </w:rPr>
        <w:t xml:space="preserve">r</w:t>
      </w:r>
      <w:r>
        <w:rPr>
          <w:rFonts w:ascii="Times New Roman" w:hAnsi="Times New Roman" w:cs="Times New Roman"/>
          <w:lang w:val="en-GB"/>
        </w:rPr>
        <w:t xml:space="preserve">Ω</w:t>
      </w:r>
      <w:r>
        <w:rPr>
          <w:rFonts w:ascii="Times New Roman" w:hAnsi="Times New Roman" w:cs="Times New Roman"/>
          <w:vertAlign w:val="superscript"/>
          <w:lang w:val="en-GB"/>
        </w:rPr>
        <w:t xml:space="preserve">2</w:t>
      </w:r>
      <w:r>
        <w:rPr>
          <w:rFonts w:ascii="Times New Roman" w:hAnsi="Times New Roman" w:cs="Times New Roman"/>
          <w:lang w:val="en-GB"/>
        </w:rPr>
        <w:t xml:space="preserve">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pPr>
        <w:rPr>
          <w:rFonts w:ascii="Times New Roman" w:hAnsi="Times New Roman" w:cs="Times New Roman"/>
          <w:b/>
          <w:bCs/>
          <w:lang w:val="en-GB"/>
        </w:rPr>
      </w:pPr>
      <w:r>
        <w:rPr>
          <w:rFonts w:ascii="Times New Roman" w:hAnsi="Times New Roman" w:cs="Times New Roman"/>
          <w:b/>
          <w:bCs/>
          <w:lang w:val="en-GB"/>
        </w:rPr>
        <w:t xml:space="preserve">Part III: Electromagnetic and Thermal Design within the Constraints</w:t>
      </w:r>
    </w:p>
    <w:p>
      <w:pPr>
        <w:rPr>
          <w:rFonts w:ascii="Times New Roman" w:hAnsi="Times New Roman" w:cs="Times New Roman"/>
          <w:lang w:val="en-GB"/>
        </w:rPr>
      </w:pPr>
      <w:r>
        <w:rPr>
          <w:rFonts w:ascii="Times New Roman" w:hAnsi="Times New Roman" w:cs="Times New Roman"/>
          <w:lang w:val="en-GB"/>
        </w:rPr>
        <w:t xml:space="preserve">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pPr>
        <w:rPr>
          <w:rFonts w:ascii="Times New Roman" w:hAnsi="Times New Roman" w:cs="Times New Roman"/>
          <w:b/>
          <w:bCs/>
          <w:lang w:val="en-GB"/>
        </w:rPr>
      </w:pPr>
      <w:r>
        <w:rPr>
          <w:rFonts w:ascii="Times New Roman" w:hAnsi="Times New Roman" w:cs="Times New Roman"/>
          <w:b/>
          <w:bCs/>
          <w:lang w:val="en-GB"/>
        </w:rPr>
        <w:t xml:space="preserve">Part IV: Delivery, the Drive and the Applications</w:t>
      </w:r>
    </w:p>
    <w:p>
      <w:pPr>
        <w:rPr>
          <w:rFonts w:ascii="Times New Roman" w:hAnsi="Times New Roman" w:cs="Times New Roman"/>
          <w:lang w:val="en-GB"/>
        </w:rPr>
      </w:pPr>
      <w:r>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 Id="rId107" Target="media/image11.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