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1, §1.1.2 — specific speed and the turbomachinery optimum</w:t>
            </w:r>
          </w:p>
        </w:tc>
        <w:tc>
          <w:tcPr>
            <w:tcW w:type="dxa" w:w="2160"/>
          </w:tcPr>
          <w:p>
            <w:r>
              <w:rPr>
                <w:sz w:val="19"/>
              </w:rPr>
            </w:r>
            <w:r>
              <w:rPr>
                <w:sz w:val="19"/>
              </w:rPr>
              <w:t>Ahti Jaatinen-Värri</w:t>
            </w:r>
          </w:p>
        </w:tc>
        <w:tc>
          <w:tcPr>
            <w:tcW w:type="dxa" w:w="2160"/>
          </w:tcPr>
          <w:p>
            <w:r>
              <w:rPr>
                <w:sz w:val="19"/>
              </w:rPr>
            </w:r>
            <w:r>
              <w:rPr>
                <w:sz w:val="19"/>
              </w:rPr>
              <w:t>LUT, Laboratory of Fluid Dynamics</w:t>
            </w:r>
          </w:p>
        </w:tc>
        <w:tc>
          <w:tcPr>
            <w:tcW w:type="dxa" w:w="2160"/>
          </w:tcPr>
          <w:p>
            <w:r>
              <w:rPr>
                <w:sz w:val="19"/>
              </w:rPr>
            </w:r>
            <w:r>
              <w:rPr>
                <w:sz w:val="19"/>
              </w:rPr>
              <w:t>drafted</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Solutions, high-temperature heat pumps</w:t>
            </w:r>
          </w:p>
        </w:tc>
        <w:tc>
          <w:tcPr>
            <w:tcW w:type="dxa" w:w="2160"/>
          </w:tcPr>
          <w:p>
            <w:r>
              <w:rPr>
                <w:sz w:val="19"/>
              </w:rPr>
            </w:r>
            <w:r>
              <w:rPr>
                <w:sz w:val="19"/>
              </w:rPr>
              <w:t>accepted; letter received</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interested (9 Sep); scope questions open; letter promised</w:t>
            </w:r>
          </w:p>
        </w:tc>
      </w:tr>
      <w:tr>
        <w:tc>
          <w:tcPr>
            <w:tcW w:type="dxa" w:w="2160"/>
          </w:tcPr>
          <w:p>
            <w:r>
              <w:rPr>
                <w:sz w:val="19"/>
              </w:rPr>
            </w:r>
            <w:r>
              <w:rPr>
                <w:sz w:val="19"/>
              </w:rPr>
              <w:t>8 — AC winding losses and conductor design</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letter signed 3 Sep; it names both loss chapters</w:t>
            </w:r>
          </w:p>
        </w:tc>
      </w:tr>
      <w:tr>
        <w:tc>
          <w:tcPr>
            <w:tcW w:type="dxa" w:w="2160"/>
          </w:tcPr>
          <w:p>
            <w:r>
              <w:rPr>
                <w:sz w:val="19"/>
              </w:rPr>
            </w:r>
            <w:r>
              <w:rPr>
                <w:sz w:val="19"/>
              </w:rPr>
              <w:t>9 — Core, rotor and aerodynamic losses</w:t>
            </w:r>
          </w:p>
        </w:tc>
        <w:tc>
          <w:tcPr>
            <w:tcW w:type="dxa" w:w="2160"/>
          </w:tcPr>
          <w:p>
            <w:r>
              <w:rPr>
                <w:sz w:val="19"/>
              </w:rPr>
            </w:r>
            <w:r>
              <w:rPr>
                <w:sz w:val="19"/>
              </w:rPr>
              <w:t>Paavo Rasilo</w:t>
            </w:r>
          </w:p>
        </w:tc>
        <w:tc>
          <w:tcPr>
            <w:tcW w:type="dxa" w:w="2160"/>
          </w:tcPr>
          <w:p>
            <w:r>
              <w:rPr>
                <w:sz w:val="19"/>
              </w:rPr>
            </w:r>
            <w:r>
              <w:rPr>
                <w:sz w:val="19"/>
              </w:rPr>
              <w:t>Tampere University</w:t>
            </w:r>
          </w:p>
        </w:tc>
        <w:tc>
          <w:tcPr>
            <w:tcW w:type="dxa" w:w="2160"/>
          </w:tcPr>
          <w:p>
            <w:r>
              <w:rPr>
                <w:sz w:val="19"/>
              </w:rPr>
            </w:r>
            <w:r>
              <w:rPr>
                <w:sz w:val="19"/>
              </w:rPr>
              <w:t>declined 20 Sep; owner to be settled</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independent researcher and engineering consultant</w:t>
            </w:r>
          </w:p>
        </w:tc>
        <w:tc>
          <w:tcPr>
            <w:tcW w:type="dxa" w:w="2160"/>
          </w:tcPr>
          <w:p>
            <w:r>
              <w:rPr>
                <w:sz w:val="19"/>
              </w:rPr>
            </w:r>
            <w:r>
              <w:rPr>
                <w:sz w:val="19"/>
              </w:rPr>
              <w:t>accepted; letter received, to be signed</w:t>
            </w:r>
          </w:p>
        </w:tc>
      </w:tr>
      <w:tr>
        <w:tc>
          <w:tcPr>
            <w:tcW w:type="dxa" w:w="2160"/>
          </w:tcPr>
          <w:p>
            <w:r>
              <w:rPr>
                <w:sz w:val="19"/>
              </w:rPr>
            </w:r>
            <w:r>
              <w:rPr>
                <w:sz w:val="19"/>
              </w:rPr>
              <w:t>11 — The drive: the converter interface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accepted; letter received</w:t>
            </w:r>
          </w:p>
        </w:tc>
      </w:tr>
      <w:tr>
        <w:tc>
          <w:tcPr>
            <w:tcW w:type="dxa" w:w="2160"/>
          </w:tcPr>
          <w:p>
            <w:r>
              <w:rPr>
                <w:sz w:val="19"/>
              </w:rPr>
            </w:r>
            <w:r>
              <w:rPr>
                <w:sz w:val="19"/>
              </w:rPr>
              <w:t>12 — Control at high fundamental frequency</w:t>
            </w:r>
          </w:p>
        </w:tc>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interested but not committed (8 Sep); has the draft letter</w:t>
            </w:r>
          </w:p>
        </w:tc>
      </w:tr>
      <w:tr>
        <w:tc>
          <w:tcPr>
            <w:tcW w:type="dxa" w:w="2160"/>
          </w:tcPr>
          <w:p>
            <w:r>
              <w:rPr>
                <w:sz w:val="19"/>
              </w:rPr>
            </w:r>
            <w:r>
              <w:rPr>
                <w:sz w:val="19"/>
              </w:rPr>
              <w:t>13 — Industrial case studies</w:t>
            </w:r>
          </w:p>
        </w:tc>
        <w:tc>
          <w:tcPr>
            <w:tcW w:type="dxa" w:w="2160"/>
          </w:tcPr>
          <w:p>
            <w:r>
              <w:rPr>
                <w:sz w:val="19"/>
              </w:rPr>
            </w:r>
            <w:r>
              <w:rPr>
                <w:sz w:val="19"/>
              </w:rPr>
              <w:t>Jonna Tiainen and Ahti Jaatinen-Värri</w:t>
            </w:r>
          </w:p>
        </w:tc>
        <w:tc>
          <w:tcPr>
            <w:tcW w:type="dxa" w:w="2160"/>
          </w:tcPr>
          <w:p>
            <w:r>
              <w:rPr>
                <w:sz w:val="19"/>
              </w:rPr>
            </w:r>
            <w:r>
              <w:rPr>
                <w:sz w:val="19"/>
              </w:rPr>
              <w:t>The Switch; LUT, turbomachinery</w:t>
            </w:r>
          </w:p>
        </w:tc>
        <w:tc>
          <w:tcPr>
            <w:tcW w:type="dxa" w:w="2160"/>
          </w:tcPr>
          <w:p>
            <w:r>
              <w:rPr>
                <w:sz w:val="19"/>
              </w:rPr>
            </w:r>
            <w:r>
              <w:rPr>
                <w:sz w:val="19"/>
              </w:rPr>
              <w:t>invited; no answer recorded</w:t>
            </w:r>
          </w:p>
        </w:tc>
      </w:tr>
      <w:tr>
        <w:tc>
          <w:tcPr>
            <w:tcW w:type="dxa" w:w="2160"/>
          </w:tcPr>
          <w:p>
            <w:r>
              <w:rPr>
                <w:sz w:val="19"/>
              </w:rPr>
            </w:r>
            <w:r>
              <w:rPr>
                <w:sz w:val="19"/>
              </w:rPr>
              <w:t>14 — Mobile case studies</w:t>
            </w:r>
          </w:p>
        </w:tc>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invited; no answer recorded</w:t>
            </w:r>
          </w:p>
        </w:tc>
      </w:tr>
      <w:tr>
        <w:tc>
          <w:tcPr>
            <w:tcW w:type="dxa" w:w="2160"/>
          </w:tcPr>
          <w:p>
            <w:r>
              <w:rPr>
                <w:sz w:val="19"/>
              </w:rPr>
            </w:r>
            <w:r>
              <w:rPr>
                <w:sz w:val="19"/>
              </w:rPr>
              <w:t>1, 3, 7</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LUT University, loss and efficiency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Charles Nutakor</w:t>
            </w:r>
          </w:p>
        </w:tc>
        <w:tc>
          <w:tcPr>
            <w:tcW w:type="dxa" w:w="2160"/>
          </w:tcPr>
          <w:p>
            <w:r>
              <w:rPr>
                <w:sz w:val="19"/>
              </w:rPr>
            </w:r>
            <w:r>
              <w:rPr>
                <w:sz w:val="19"/>
              </w:rPr>
              <w:t>LUT University, lubrication and seals</w:t>
            </w:r>
          </w:p>
        </w:tc>
        <w:tc>
          <w:tcPr>
            <w:tcW w:type="dxa" w:w="2160"/>
          </w:tcPr>
          <w:p>
            <w:r>
              <w:rPr>
                <w:sz w:val="19"/>
              </w:rPr>
            </w:r>
            <w:r>
              <w:rPr>
                <w:sz w:val="19"/>
              </w:rPr>
              <w:t>6</w:t>
            </w:r>
          </w:p>
        </w:tc>
        <w:tc>
          <w:tcPr>
            <w:tcW w:type="dxa" w:w="2160"/>
          </w:tcPr>
          <w:p>
            <w:r>
              <w:rPr>
                <w:sz w:val="19"/>
              </w:rPr>
            </w:r>
            <w:r>
              <w:rPr>
                <w:sz w:val="19"/>
              </w:rPr>
              <w:t>J. Sopanen, proposed 9 Sep</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