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p>
    <w:p>
      <w:pPr>
        <w:jc w:val="both"/>
      </w:pPr>
      <w:r>
        <w:t>Authors: Hüseyin Canseven, Ilya Petrov, Juha Pyrhönen (LUT University), with named contributors per chapter.</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and 11,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Owner</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A. Belahcen</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R. Wrobel</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converter interface and control at high fundamental frequency</w:t>
            </w:r>
          </w:p>
        </w:tc>
        <w:tc>
          <w:tcPr>
            <w:tcW w:type="dxa" w:w="1234"/>
          </w:tcPr>
          <w:p>
            <w:r>
              <w:rPr>
                <w:sz w:val="19"/>
              </w:rPr>
            </w:r>
            <w:r>
              <w:rPr>
                <w:sz w:val="19"/>
              </w:rPr>
              <w:t>40</w:t>
            </w:r>
          </w:p>
        </w:tc>
        <w:tc>
          <w:tcPr>
            <w:tcW w:type="dxa" w:w="1234"/>
          </w:tcPr>
          <w:p>
            <w:r>
              <w:rPr>
                <w:sz w:val="19"/>
              </w:rPr>
            </w:r>
            <w:r>
              <w:rPr>
                <w:sz w:val="19"/>
              </w:rPr>
              <w:t>16 200</w:t>
            </w:r>
          </w:p>
        </w:tc>
        <w:tc>
          <w:tcPr>
            <w:tcW w:type="dxa" w:w="1234"/>
          </w:tcPr>
          <w:p>
            <w:r>
              <w:rPr>
                <w:sz w:val="19"/>
              </w:rPr>
            </w:r>
            <w:r>
              <w:rPr>
                <w:sz w:val="19"/>
              </w:rPr>
              <w:t>26</w:t>
            </w:r>
          </w:p>
        </w:tc>
        <w:tc>
          <w:tcPr>
            <w:tcW w:type="dxa" w:w="1234"/>
          </w:tcPr>
          <w:p>
            <w:r>
              <w:rPr>
                <w:sz w:val="19"/>
              </w:rPr>
            </w:r>
            <w:r>
              <w:rPr>
                <w:sz w:val="19"/>
              </w:rPr>
              <w:t>P. Peltoniemi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Mobile case studies: traction, aerospace and e-turbo</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p>
        </w:tc>
        <w:tc>
          <w:tcPr>
            <w:tcW w:type="dxa" w:w="1234"/>
          </w:tcPr>
          <w:p>
            <w:r>
              <w:rPr>
                <w:sz w:val="19"/>
              </w:rPr>
            </w:r>
          </w:p>
        </w:tc>
        <w:tc>
          <w:tcPr>
            <w:tcW w:type="dxa" w:w="1234"/>
          </w:tcPr>
          <w:p>
            <w:r>
              <w:rPr>
                <w:sz w:val="19"/>
              </w:rPr>
            </w:r>
            <w:r>
              <w:rPr>
                <w:b/>
                <w:sz w:val="19"/>
              </w:rPr>
              <w:t>Chapters 1–13</w:t>
            </w:r>
          </w:p>
        </w:tc>
        <w:tc>
          <w:tcPr>
            <w:tcW w:type="dxa" w:w="1234"/>
          </w:tcPr>
          <w:p>
            <w:r>
              <w:rPr>
                <w:sz w:val="19"/>
              </w:rPr>
            </w:r>
            <w:r>
              <w:rPr>
                <w:b/>
                <w:sz w:val="19"/>
              </w:rPr>
              <w:t>410</w:t>
            </w:r>
          </w:p>
        </w:tc>
        <w:tc>
          <w:tcPr>
            <w:tcW w:type="dxa" w:w="1234"/>
          </w:tcPr>
          <w:p>
            <w:r>
              <w:rPr>
                <w:sz w:val="19"/>
              </w:rPr>
            </w:r>
            <w:r>
              <w:rPr>
                <w:b/>
                <w:sz w:val="19"/>
              </w:rPr>
              <w:t>161 400</w:t>
            </w:r>
          </w:p>
        </w:tc>
        <w:tc>
          <w:tcPr>
            <w:tcW w:type="dxa" w:w="1234"/>
          </w:tcPr>
          <w:p>
            <w:r>
              <w:rPr>
                <w:sz w:val="19"/>
              </w:rPr>
            </w:r>
            <w:r>
              <w:rPr>
                <w:b/>
                <w:sz w:val="19"/>
              </w:rPr>
              <w:t>263</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450</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and are assembled into complete, measured designs in Chapters 12 and 13. Every design chapter therefore ends with the same two worked examples, and the reader can follow one machine through the whole procedure.</w:t>
      </w:r>
    </w:p>
    <w:p>
      <w:pPr>
        <w:jc w:val="both"/>
      </w:pPr>
      <w:r>
        <w:rPr>
          <w:b/>
        </w:rPr>
        <w:t>A closing comparison in every design chapter.</w:t>
      </w:r>
      <w:r>
        <w:t xml:space="preserve"> Chapters 3 to 11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a centrifugal compressor or a turbo-expander has an aerodynamic optimum fixed by its specific speed, and that optimum, not any electrical consideration, is what asks for 30 000 r/min.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and the high-temperature industrial heat pump is given the most weight among them, because it is the application currently pulling hardest on high-speed compression and is written here from a manufacturer rather than from the literature; hydrogen and cryogenic compression and flywheel storage follow.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Why the driven machine sets the speed: specific speed and the turbomachinery optimum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high-temperature industrial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states the speed requirement from the driven machine's side rather than the motor's. Owner: J. Saari of Upheat, who covers the industrial applications and the high-temperature heat pump of §2.8 from a manufacturer, and who recruits co-authors for §2.2, the aerodynamic optimum, and for the mobile applications.</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Owner: A. Belahcen (loss modelling, materials, manufacturing effects), with I. Petrov on the rotor losses and a co-author of his choosing for the windage of §9.8; J. Saari, whose correlations the section rests on, is the natural name for it.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Owner: R. Wrobel, for the chapter entire, recruiting co-authors where a section calls for a specialism outside his own; the air-gap convection of §10.5 is the obvious such section, and the turbomachinery contributors are available for it.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converter interface and control at high fundamental frequency</w:t>
      </w:r>
    </w:p>
    <w:p>
      <w:pPr>
        <w:jc w:val="both"/>
      </w:pPr>
      <w:r>
        <w:t>The converter is not a fourth constraint but the gatekeeper that decides which region of the design space can be reached. The chapter develops the modulation ratio and the synchronous-PWM and control-stability thresholds, then shows why current harmonics matter more at high speed: they are deposited in a rotor that the air gap and the retaining sleeve thermally isolate, so that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control half of the chapter addresses what changes at low pulse ratios: current regulation, overmodulation and six-step operation, position sensing and sensorless operation, run-up through critical speeds, field weakening and protection. The chapter closes with the co-design procedure, matching pole count to converter capability, applied to both running machines.</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Control at low pulse ratios · 11.9 Position sensing and sensorless operation · 11.10 Run-up through critical speeds, field weakening, protection · 11.11 Co-design of the two running machines with their converters.</w:t>
      </w:r>
    </w:p>
    <w:p>
      <w:pPr>
        <w:jc w:val="both"/>
      </w:pPr>
      <w:r>
        <w:t>Budget: 40 pages, 26 figures, 2 tables. Owner: P. Peltoniemi, who writes the converter sections, 11.1 and 11.3 to 11.7, and recruits the control sections 11.8 to 11.10 and the harmonic-loss section 11.2; L. Aarniovuori is the intended name for the latter. DREM boundary: not covered in the earlier book.</w:t>
      </w:r>
    </w:p>
    <w:p>
      <w:pPr>
        <w:pStyle w:val="Heading4"/>
      </w:pPr>
      <w:r>
        <w:t>Chapter 12.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12.1 The gearless compressor drive: from specification to measured performance · 12.2 The ORC turbogenerator · 12.3 Manufacture and tolerance control · 12.4 Test rig, instrumentation and loss segregation at high speed · 12.5 Qualification against standards · 12.6 Failure modes and design lessons.</w:t>
      </w:r>
    </w:p>
    <w:p>
      <w:pPr>
        <w:jc w:val="both"/>
      </w:pPr>
      <w:r>
        <w:t>Budget: 28 pages, 22 figures, 3 tables. Contributors: authors, the compressor case, §12.1, source to be confirmed, J. Ikäheimo (manufacture and tolerance control, 12.3, and qualification against the standards, 12.5, both written from a manufacturer's practice), L. Aarniovuori (test rig and loss segregation, 12.4), J. Tiainen (industrial perspective). New: measured case data, and photographs of built machines and rotors supplied by the industrial contributors, which no competing title has.</w:t>
      </w:r>
    </w:p>
    <w:p>
      <w:pPr>
        <w:pStyle w:val="Heading4"/>
      </w:pPr>
      <w:r>
        <w:t>Chapter 13. Mobile case studies: traction, aerospace and e-turbo</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12. A closing section revisits the two paradigms with the completed designs in hand and states, with numbers, why the same physics produces opposite machines.</w:t>
      </w:r>
    </w:p>
    <w:p>
      <w:pPr>
        <w:jc w:val="both"/>
      </w:pPr>
      <w:r>
        <w:t>Sections: 13.1 The Voltcar traction machine: from specification to measured performance · 13.2 A high-specific-power aerospace generator · 13.3 An e-turbocharger above 100 000 r/min · 13.4 Testing under drive-cycle and thermal transients · 13.5 Overspeed, thermal and endurance qualification · 13.6 Failure modes and design lessons · 13.7 The two paradigms revisited.</w:t>
      </w:r>
    </w:p>
    <w:p>
      <w:pPr>
        <w:jc w:val="both"/>
      </w:pPr>
      <w:r>
        <w:t>Budget: 30 pages, 24 figures, 3 tables. Owner: the authors, who also write §13.7, the closing synthesis of the two paradigms. Co-authors: J. Pippuri-Mäkeläinen of VTT, who manages the Voltcar project, on §13.1; an aerospace contributor for §13.2. New: measured case data from a current EU project, used with the project’s agreement.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Chapter ownership and contributors</w:t>
      </w:r>
    </w:p>
    <w:p>
      <w:pPr>
        <w:jc w:val="both"/>
      </w:pPr>
      <w:r>
        <w:t>The author line is Canseven, Petrov and Pyrhönen. The book is written on a rule of one</w:t>
      </w:r>
    </w:p>
    <w:p>
      <w:pPr>
        <w:jc w:val="both"/>
      </w:pPr>
      <w:r>
        <w:t>chapter, one owner. Every chapter has a single owner, either one of the three authors or</w:t>
      </w:r>
    </w:p>
    <w:p>
      <w:pPr>
        <w:jc w:val="both"/>
      </w:pPr>
      <w:r>
        <w:t>one external contributor, who is responsible for the coherence of that chapter and is the</w:t>
      </w:r>
    </w:p>
    <w:p>
      <w:pPr>
        <w:jc w:val="both"/>
      </w:pPr>
      <w:r>
        <w:t>authors' only point of contact for it. An owner who needs a specialism outside their own</w:t>
      </w:r>
    </w:p>
    <w:p>
      <w:pPr>
        <w:jc w:val="both"/>
      </w:pPr>
      <w:r>
        <w:t>recruits a co-author and coordinates them; the authors do not negotiate with co-authors</w:t>
      </w:r>
    </w:p>
    <w:p>
      <w:pPr>
        <w:jc w:val="both"/>
      </w:pPr>
      <w:r>
        <w:t>directly. This keeps a chapter from becoming four disjoint sections in four notations, and</w:t>
      </w:r>
    </w:p>
    <w:p>
      <w:pPr>
        <w:jc w:val="both"/>
      </w:pPr>
      <w:r>
        <w:t>it gives each contributor a whole argument to make rather than a fragment inside somebody</w:t>
      </w:r>
    </w:p>
    <w:p>
      <w:pPr>
        <w:jc w:val="both"/>
      </w:pPr>
      <w:r>
        <w:t>else's.</w:t>
      </w:r>
    </w:p>
    <w:p>
      <w:pPr>
        <w:jc w:val="both"/>
      </w:pPr>
      <w:r>
        <w:t>Contributors are credited at chapter level: the owner and any co-authors are named</w:t>
      </w:r>
    </w:p>
    <w:p>
      <w:pPr>
        <w:jc w:val="both"/>
      </w:pPr>
      <w:r>
        <w:t>together at the head of the chapter, in the list of contributors with affiliation and a</w:t>
      </w:r>
    </w:p>
    <w:p>
      <w:pPr>
        <w:jc w:val="both"/>
      </w:pPr>
      <w:r>
        <w:t>short biography, and in the preface.</w:t>
      </w:r>
    </w:p>
    <w:p>
      <w:pPr>
        <w:jc w:val="both"/>
      </w:pPr>
      <w:r>
        <w:rPr>
          <w:b/>
        </w:rPr>
        <w:t>Chapter owners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r>
            <w:r>
              <w:rPr>
                <w:b/>
                <w:sz w:val="19"/>
              </w:rPr>
              <w:t>Chapters</w:t>
            </w:r>
          </w:p>
        </w:tc>
        <w:tc>
          <w:tcPr>
            <w:tcW w:type="dxa" w:w="2880"/>
          </w:tcPr>
          <w:p>
            <w:r>
              <w:rPr>
                <w:b/>
                <w:sz w:val="19"/>
              </w:rPr>
            </w:r>
            <w:r>
              <w:rPr>
                <w:b/>
                <w:sz w:val="19"/>
              </w:rPr>
              <w:t>Owner</w:t>
            </w:r>
          </w:p>
        </w:tc>
        <w:tc>
          <w:tcPr>
            <w:tcW w:type="dxa" w:w="2880"/>
          </w:tcPr>
          <w:p>
            <w:r>
              <w:rPr>
                <w:b/>
                <w:sz w:val="19"/>
              </w:rPr>
            </w:r>
            <w:r>
              <w:rPr>
                <w:b/>
                <w:sz w:val="19"/>
              </w:rPr>
              <w:t>Affiliation</w:t>
            </w:r>
          </w:p>
        </w:tc>
      </w:tr>
      <w:tr>
        <w:tc>
          <w:tcPr>
            <w:tcW w:type="dxa" w:w="2880"/>
          </w:tcPr>
          <w:p>
            <w:r>
              <w:rPr>
                <w:sz w:val="19"/>
              </w:rPr>
            </w:r>
            <w:r>
              <w:rPr>
                <w:sz w:val="19"/>
              </w:rPr>
              <w:t>4, 5, 6 — the whole of Part II</w:t>
            </w:r>
          </w:p>
        </w:tc>
        <w:tc>
          <w:tcPr>
            <w:tcW w:type="dxa" w:w="2880"/>
          </w:tcPr>
          <w:p>
            <w:r>
              <w:rPr>
                <w:sz w:val="19"/>
              </w:rPr>
            </w:r>
            <w:r>
              <w:rPr>
                <w:sz w:val="19"/>
              </w:rPr>
              <w:t>Jussi Sopanen</w:t>
            </w:r>
          </w:p>
        </w:tc>
        <w:tc>
          <w:tcPr>
            <w:tcW w:type="dxa" w:w="2880"/>
          </w:tcPr>
          <w:p>
            <w:r>
              <w:rPr>
                <w:sz w:val="19"/>
              </w:rPr>
            </w:r>
            <w:r>
              <w:rPr>
                <w:sz w:val="19"/>
              </w:rPr>
              <w:t>LUT, machine dynamics</w:t>
            </w:r>
          </w:p>
        </w:tc>
      </w:tr>
      <w:tr>
        <w:tc>
          <w:tcPr>
            <w:tcW w:type="dxa" w:w="2880"/>
          </w:tcPr>
          <w:p>
            <w:r>
              <w:rPr>
                <w:sz w:val="19"/>
              </w:rPr>
            </w:r>
            <w:r>
              <w:rPr>
                <w:sz w:val="19"/>
              </w:rPr>
              <w:t>9 — Core, rotor and aerodynamic losses</w:t>
            </w:r>
          </w:p>
        </w:tc>
        <w:tc>
          <w:tcPr>
            <w:tcW w:type="dxa" w:w="2880"/>
          </w:tcPr>
          <w:p>
            <w:r>
              <w:rPr>
                <w:sz w:val="19"/>
              </w:rPr>
            </w:r>
            <w:r>
              <w:rPr>
                <w:sz w:val="19"/>
              </w:rPr>
              <w:t>Anouar Belahcen</w:t>
            </w:r>
          </w:p>
        </w:tc>
        <w:tc>
          <w:tcPr>
            <w:tcW w:type="dxa" w:w="2880"/>
          </w:tcPr>
          <w:p>
            <w:r>
              <w:rPr>
                <w:sz w:val="19"/>
              </w:rPr>
            </w:r>
            <w:r>
              <w:rPr>
                <w:sz w:val="19"/>
              </w:rPr>
              <w:t>Aalto University</w:t>
            </w:r>
          </w:p>
        </w:tc>
      </w:tr>
      <w:tr>
        <w:tc>
          <w:tcPr>
            <w:tcW w:type="dxa" w:w="2880"/>
          </w:tcPr>
          <w:p>
            <w:r>
              <w:rPr>
                <w:sz w:val="19"/>
              </w:rPr>
            </w:r>
            <w:r>
              <w:rPr>
                <w:sz w:val="19"/>
              </w:rPr>
              <w:t>10 — Thermal management and cooling</w:t>
            </w:r>
          </w:p>
        </w:tc>
        <w:tc>
          <w:tcPr>
            <w:tcW w:type="dxa" w:w="2880"/>
          </w:tcPr>
          <w:p>
            <w:r>
              <w:rPr>
                <w:sz w:val="19"/>
              </w:rPr>
            </w:r>
            <w:r>
              <w:rPr>
                <w:sz w:val="19"/>
              </w:rPr>
              <w:t>Rafal Wrobel</w:t>
            </w:r>
          </w:p>
        </w:tc>
        <w:tc>
          <w:tcPr>
            <w:tcW w:type="dxa" w:w="2880"/>
          </w:tcPr>
          <w:p>
            <w:r>
              <w:rPr>
                <w:sz w:val="19"/>
              </w:rPr>
            </w:r>
            <w:r>
              <w:rPr>
                <w:sz w:val="19"/>
              </w:rPr>
              <w:t>Newcastle University</w:t>
            </w:r>
          </w:p>
        </w:tc>
      </w:tr>
      <w:tr>
        <w:tc>
          <w:tcPr>
            <w:tcW w:type="dxa" w:w="2880"/>
          </w:tcPr>
          <w:p>
            <w:r>
              <w:rPr>
                <w:sz w:val="19"/>
              </w:rPr>
            </w:r>
            <w:r>
              <w:rPr>
                <w:sz w:val="19"/>
              </w:rPr>
              <w:t>11 — The drive</w:t>
            </w:r>
          </w:p>
        </w:tc>
        <w:tc>
          <w:tcPr>
            <w:tcW w:type="dxa" w:w="2880"/>
          </w:tcPr>
          <w:p>
            <w:r>
              <w:rPr>
                <w:sz w:val="19"/>
              </w:rPr>
            </w:r>
            <w:r>
              <w:rPr>
                <w:sz w:val="19"/>
              </w:rPr>
              <w:t>Pasi Peltoniemi</w:t>
            </w:r>
          </w:p>
        </w:tc>
        <w:tc>
          <w:tcPr>
            <w:tcW w:type="dxa" w:w="2880"/>
          </w:tcPr>
          <w:p>
            <w:r>
              <w:rPr>
                <w:sz w:val="19"/>
              </w:rPr>
            </w:r>
            <w:r>
              <w:rPr>
                <w:sz w:val="19"/>
              </w:rPr>
              <w:t>LUT, power electronics</w:t>
            </w:r>
          </w:p>
        </w:tc>
      </w:tr>
      <w:tr>
        <w:tc>
          <w:tcPr>
            <w:tcW w:type="dxa" w:w="2880"/>
          </w:tcPr>
          <w:p>
            <w:r>
              <w:rPr>
                <w:sz w:val="19"/>
              </w:rPr>
            </w:r>
            <w:r>
              <w:rPr>
                <w:sz w:val="19"/>
              </w:rPr>
              <w:t>2 — Applications and system architectures</w:t>
            </w:r>
          </w:p>
        </w:tc>
        <w:tc>
          <w:tcPr>
            <w:tcW w:type="dxa" w:w="2880"/>
          </w:tcPr>
          <w:p>
            <w:r>
              <w:rPr>
                <w:sz w:val="19"/>
              </w:rPr>
            </w:r>
            <w:r>
              <w:rPr>
                <w:sz w:val="19"/>
              </w:rPr>
              <w:t>Juha Saari</w:t>
            </w:r>
          </w:p>
        </w:tc>
        <w:tc>
          <w:tcPr>
            <w:tcW w:type="dxa" w:w="2880"/>
          </w:tcPr>
          <w:p>
            <w:r>
              <w:rPr>
                <w:sz w:val="19"/>
              </w:rPr>
            </w:r>
            <w:r>
              <w:rPr>
                <w:sz w:val="19"/>
              </w:rPr>
              <w:t>Upheat, high-temperature heat pumps</w:t>
            </w:r>
          </w:p>
        </w:tc>
      </w:tr>
      <w:tr>
        <w:tc>
          <w:tcPr>
            <w:tcW w:type="dxa" w:w="2880"/>
          </w:tcPr>
          <w:p>
            <w:r>
              <w:rPr>
                <w:sz w:val="19"/>
              </w:rPr>
            </w:r>
            <w:r>
              <w:rPr>
                <w:sz w:val="19"/>
              </w:rPr>
              <w:t>1, 3, 7, 8, 12, 13</w:t>
            </w:r>
          </w:p>
        </w:tc>
        <w:tc>
          <w:tcPr>
            <w:tcW w:type="dxa" w:w="2880"/>
          </w:tcPr>
          <w:p>
            <w:r>
              <w:rPr>
                <w:sz w:val="19"/>
              </w:rPr>
            </w:r>
            <w:r>
              <w:rPr>
                <w:sz w:val="19"/>
              </w:rPr>
              <w:t>the authors</w:t>
            </w:r>
          </w:p>
        </w:tc>
        <w:tc>
          <w:tcPr>
            <w:tcW w:type="dxa" w:w="2880"/>
          </w:tcPr>
          <w:p>
            <w:r>
              <w:rPr>
                <w:sz w:val="19"/>
              </w:rPr>
            </w:r>
            <w:r>
              <w:rPr>
                <w:sz w:val="19"/>
              </w:rPr>
              <w:t>LUT University</w:t>
            </w:r>
          </w:p>
        </w:tc>
      </w:tr>
    </w:tbl>
    <w:p>
      <w:pPr>
        <w:spacing w:after="120"/>
      </w:pPr>
    </w:p>
    <w:p>
      <w:pPr>
        <w:jc w:val="both"/>
      </w:pPr>
      <w:r>
        <w:rPr>
          <w:b/>
        </w:rPr>
        <w:t>Co-authors, recruited by the owner of the chapter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w:t>
            </w:r>
          </w:p>
        </w:tc>
        <w:tc>
          <w:tcPr>
            <w:tcW w:type="dxa" w:w="2160"/>
          </w:tcPr>
          <w:p>
            <w:r>
              <w:rPr>
                <w:b/>
                <w:sz w:val="19"/>
              </w:rPr>
            </w:r>
            <w:r>
              <w:rPr>
                <w:b/>
                <w:sz w:val="19"/>
              </w:rPr>
              <w:t>Brought in by</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 12; photographs and machine material throughout</w:t>
            </w:r>
          </w:p>
        </w:tc>
        <w:tc>
          <w:tcPr>
            <w:tcW w:type="dxa" w:w="2160"/>
          </w:tcPr>
          <w:p>
            <w:r>
              <w:rPr>
                <w:sz w:val="19"/>
              </w:rPr>
            </w:r>
            <w:r>
              <w:rPr>
                <w:sz w:val="19"/>
              </w:rPr>
              <w:t>the authors</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11, 12</w:t>
            </w:r>
          </w:p>
        </w:tc>
        <w:tc>
          <w:tcPr>
            <w:tcW w:type="dxa" w:w="2160"/>
          </w:tcPr>
          <w:p>
            <w:r>
              <w:rPr>
                <w:sz w:val="19"/>
              </w:rPr>
            </w:r>
            <w:r>
              <w:rPr>
                <w:sz w:val="19"/>
              </w:rPr>
              <w:t>P. Peltoniemi and the authors</w:t>
            </w:r>
          </w:p>
        </w:tc>
      </w:tr>
      <w:tr>
        <w:tc>
          <w:tcPr>
            <w:tcW w:type="dxa" w:w="2160"/>
          </w:tcPr>
          <w:p>
            <w:r>
              <w:rPr>
                <w:sz w:val="19"/>
              </w:rPr>
            </w:r>
            <w:r>
              <w:rPr>
                <w:sz w:val="19"/>
              </w:rPr>
              <w:t>Ahti Jaatinen-Värri</w:t>
            </w:r>
          </w:p>
        </w:tc>
        <w:tc>
          <w:tcPr>
            <w:tcW w:type="dxa" w:w="2160"/>
          </w:tcPr>
          <w:p>
            <w:r>
              <w:rPr>
                <w:sz w:val="19"/>
              </w:rPr>
            </w:r>
            <w:r>
              <w:rPr>
                <w:sz w:val="19"/>
              </w:rPr>
              <w:t>LUT, turbomachinery</w:t>
            </w:r>
          </w:p>
        </w:tc>
        <w:tc>
          <w:tcPr>
            <w:tcW w:type="dxa" w:w="2160"/>
          </w:tcPr>
          <w:p>
            <w:r>
              <w:rPr>
                <w:sz w:val="19"/>
              </w:rPr>
            </w:r>
            <w:r>
              <w:rPr>
                <w:sz w:val="19"/>
              </w:rPr>
              <w:t>2 or 10, the air-gap flow and the aerodynamic optimum</w:t>
            </w:r>
          </w:p>
        </w:tc>
        <w:tc>
          <w:tcPr>
            <w:tcW w:type="dxa" w:w="2160"/>
          </w:tcPr>
          <w:p>
            <w:r>
              <w:rPr>
                <w:sz w:val="19"/>
              </w:rPr>
            </w:r>
            <w:r>
              <w:rPr>
                <w:sz w:val="19"/>
              </w:rPr>
              <w:t>J. Saari or R. Wrobel</w:t>
            </w:r>
          </w:p>
        </w:tc>
      </w:tr>
      <w:tr>
        <w:tc>
          <w:tcPr>
            <w:tcW w:type="dxa" w:w="2160"/>
          </w:tcPr>
          <w:p>
            <w:r>
              <w:rPr>
                <w:sz w:val="19"/>
              </w:rPr>
            </w:r>
            <w:r>
              <w:rPr>
                <w:sz w:val="19"/>
              </w:rPr>
              <w:t>Jonna Tiainen</w:t>
            </w:r>
          </w:p>
        </w:tc>
        <w:tc>
          <w:tcPr>
            <w:tcW w:type="dxa" w:w="2160"/>
          </w:tcPr>
          <w:p>
            <w:r>
              <w:rPr>
                <w:sz w:val="19"/>
              </w:rPr>
            </w:r>
            <w:r>
              <w:rPr>
                <w:sz w:val="19"/>
              </w:rPr>
              <w:t>The Switch</w:t>
            </w:r>
          </w:p>
        </w:tc>
        <w:tc>
          <w:tcPr>
            <w:tcW w:type="dxa" w:w="2160"/>
          </w:tcPr>
          <w:p>
            <w:r>
              <w:rPr>
                <w:sz w:val="19"/>
              </w:rPr>
            </w:r>
            <w:r>
              <w:rPr>
                <w:sz w:val="19"/>
              </w:rPr>
              <w:t>2, 12</w:t>
            </w:r>
          </w:p>
        </w:tc>
        <w:tc>
          <w:tcPr>
            <w:tcW w:type="dxa" w:w="2160"/>
          </w:tcPr>
          <w:p>
            <w:r>
              <w:rPr>
                <w:sz w:val="19"/>
              </w:rPr>
            </w:r>
            <w:r>
              <w:rPr>
                <w:sz w:val="19"/>
              </w:rPr>
              <w:t>J. Saari and the authors</w:t>
            </w:r>
          </w:p>
        </w:tc>
      </w:tr>
      <w:tr>
        <w:tc>
          <w:tcPr>
            <w:tcW w:type="dxa" w:w="2160"/>
          </w:tcPr>
          <w:p>
            <w:r>
              <w:rPr>
                <w:sz w:val="19"/>
              </w:rPr>
            </w:r>
            <w:r>
              <w:rPr>
                <w:sz w:val="19"/>
              </w:rPr>
              <w:t>a bearing application specialist</w:t>
            </w:r>
          </w:p>
        </w:tc>
        <w:tc>
          <w:tcPr>
            <w:tcW w:type="dxa" w:w="2160"/>
          </w:tcPr>
          <w:p>
            <w:r>
              <w:rPr>
                <w:sz w:val="19"/>
              </w:rPr>
            </w:r>
            <w:r>
              <w:rPr>
                <w:sz w:val="19"/>
              </w:rPr>
              <w:t>industry</w:t>
            </w:r>
          </w:p>
        </w:tc>
        <w:tc>
          <w:tcPr>
            <w:tcW w:type="dxa" w:w="2160"/>
          </w:tcPr>
          <w:p>
            <w:r>
              <w:rPr>
                <w:sz w:val="19"/>
              </w:rPr>
            </w:r>
            <w:r>
              <w:rPr>
                <w:sz w:val="19"/>
              </w:rPr>
              <w:t>6</w:t>
            </w:r>
          </w:p>
        </w:tc>
        <w:tc>
          <w:tcPr>
            <w:tcW w:type="dxa" w:w="2160"/>
          </w:tcPr>
          <w:p>
            <w:r>
              <w:rPr>
                <w:sz w:val="19"/>
              </w:rPr>
            </w:r>
            <w:r>
              <w:rPr>
                <w:sz w:val="19"/>
              </w:rPr>
              <w:t>J. Sopanen, from his network</w:t>
            </w:r>
          </w:p>
        </w:tc>
      </w:tr>
      <w:tr>
        <w:tc>
          <w:tcPr>
            <w:tcW w:type="dxa" w:w="2160"/>
          </w:tcPr>
          <w:p>
            <w:r>
              <w:rPr>
                <w:sz w:val="19"/>
              </w:rPr>
            </w:r>
            <w:r>
              <w:rPr>
                <w:sz w:val="19"/>
              </w:rPr>
              <w:t>a control specialist</w:t>
            </w:r>
          </w:p>
        </w:tc>
        <w:tc>
          <w:tcPr>
            <w:tcW w:type="dxa" w:w="2160"/>
          </w:tcPr>
          <w:p>
            <w:r>
              <w:rPr>
                <w:sz w:val="19"/>
              </w:rPr>
            </w:r>
            <w:r>
              <w:rPr>
                <w:sz w:val="19"/>
              </w:rPr>
              <w:t>to be identified</w:t>
            </w:r>
          </w:p>
        </w:tc>
        <w:tc>
          <w:tcPr>
            <w:tcW w:type="dxa" w:w="2160"/>
          </w:tcPr>
          <w:p>
            <w:r>
              <w:rPr>
                <w:sz w:val="19"/>
              </w:rPr>
            </w:r>
            <w:r>
              <w:rPr>
                <w:sz w:val="19"/>
              </w:rPr>
              <w:t>11</w:t>
            </w:r>
          </w:p>
        </w:tc>
        <w:tc>
          <w:tcPr>
            <w:tcW w:type="dxa" w:w="2160"/>
          </w:tcPr>
          <w:p>
            <w:r>
              <w:rPr>
                <w:sz w:val="19"/>
              </w:rPr>
            </w:r>
            <w:r>
              <w:rPr>
                <w:sz w:val="19"/>
              </w:rPr>
              <w:t>P. Peltoniemi</w:t>
            </w:r>
          </w:p>
        </w:tc>
      </w:tr>
      <w:tr>
        <w:tc>
          <w:tcPr>
            <w:tcW w:type="dxa" w:w="2160"/>
          </w:tcPr>
          <w:p>
            <w:r>
              <w:rPr>
                <w:sz w:val="19"/>
              </w:rPr>
            </w:r>
            <w:r>
              <w:rPr>
                <w:sz w:val="19"/>
              </w:rPr>
              <w:t>Jenni Pippuri-Mäkeläinen</w:t>
            </w:r>
          </w:p>
        </w:tc>
        <w:tc>
          <w:tcPr>
            <w:tcW w:type="dxa" w:w="2160"/>
          </w:tcPr>
          <w:p>
            <w:r>
              <w:rPr>
                <w:sz w:val="19"/>
              </w:rPr>
            </w:r>
            <w:r>
              <w:rPr>
                <w:sz w:val="19"/>
              </w:rPr>
              <w:t>VTT, manager of the Voltcar project</w:t>
            </w:r>
          </w:p>
        </w:tc>
        <w:tc>
          <w:tcPr>
            <w:tcW w:type="dxa" w:w="2160"/>
          </w:tcPr>
          <w:p>
            <w:r>
              <w:rPr>
                <w:sz w:val="19"/>
              </w:rPr>
            </w:r>
            <w:r>
              <w:rPr>
                <w:sz w:val="19"/>
              </w:rPr>
              <w:t>13, the Voltcar machine of §13.1</w:t>
            </w:r>
          </w:p>
        </w:tc>
        <w:tc>
          <w:tcPr>
            <w:tcW w:type="dxa" w:w="2160"/>
          </w:tcPr>
          <w:p>
            <w:r>
              <w:rPr>
                <w:sz w:val="19"/>
              </w:rPr>
            </w:r>
            <w:r>
              <w:rPr>
                <w:sz w:val="19"/>
              </w:rPr>
              <w:t>the authors</w:t>
            </w:r>
          </w:p>
        </w:tc>
      </w:tr>
      <w:tr>
        <w:tc>
          <w:tcPr>
            <w:tcW w:type="dxa" w:w="2160"/>
          </w:tcPr>
          <w:p>
            <w:r>
              <w:rPr>
                <w:sz w:val="19"/>
              </w:rPr>
            </w:r>
            <w:r>
              <w:rPr>
                <w:sz w:val="19"/>
              </w:rPr>
              <w:t>an aerospace contributor</w:t>
            </w:r>
          </w:p>
        </w:tc>
        <w:tc>
          <w:tcPr>
            <w:tcW w:type="dxa" w:w="2160"/>
          </w:tcPr>
          <w:p>
            <w:r>
              <w:rPr>
                <w:sz w:val="19"/>
              </w:rPr>
            </w:r>
            <w:r>
              <w:rPr>
                <w:sz w:val="19"/>
              </w:rPr>
              <w:t>to be identified</w:t>
            </w:r>
          </w:p>
        </w:tc>
        <w:tc>
          <w:tcPr>
            <w:tcW w:type="dxa" w:w="2160"/>
          </w:tcPr>
          <w:p>
            <w:r>
              <w:rPr>
                <w:sz w:val="19"/>
              </w:rPr>
            </w:r>
            <w:r>
              <w:rPr>
                <w:sz w:val="19"/>
              </w:rPr>
              <w:t>13</w:t>
            </w:r>
          </w:p>
        </w:tc>
        <w:tc>
          <w:tcPr>
            <w:tcW w:type="dxa" w:w="2160"/>
          </w:tcPr>
          <w:p>
            <w:r>
              <w:rPr>
                <w:sz w:val="19"/>
              </w:rPr>
            </w:r>
            <w:r>
              <w:rPr>
                <w:sz w:val="19"/>
              </w:rPr>
              <w:t>the authors</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