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Specific speed: the Introduction only, and what that changes elsewhere</w:t>
      </w:r>
    </w:p>
    <w:p>
      <w:pPr>
        <w:jc w:val="both"/>
      </w:pPr>
      <w:r>
        <w:rPr>
          <w:b/>
        </w:rPr>
        <w:t>Decision (6 October 2026).</w:t>
      </w:r>
      <w:r>
        <w:t xml:space="preserve"> Ahti Jaatinen-Värri's specific-speed material goes into the</w:t>
      </w:r>
    </w:p>
    <w:p>
      <w:pPr>
        <w:jc w:val="both"/>
      </w:pPr>
      <w:r>
        <w:t>Introduction, in full. Chapter 2 remains Juha Saari's entire, as agreed, and §2.2 no longer</w:t>
      </w:r>
    </w:p>
    <w:p>
      <w:pPr>
        <w:jc w:val="both"/>
      </w:pPr>
      <w:r>
        <w:t>derives specific speed — it applies the result. Ahti's own section in the book is Chapter 13,</w:t>
      </w:r>
    </w:p>
    <w:p>
      <w:pPr>
        <w:jc w:val="both"/>
      </w:pPr>
      <w:r>
        <w:t>which he holds jointly with Jonna Tiainen; the Introduction contribution is separate from it.</w:t>
      </w:r>
    </w:p>
    <w:p>
      <w:pPr>
        <w:jc w:val="both"/>
      </w:pPr>
      <w:r>
        <w:t xml:space="preserve">The book treats specific speed </w:t>
      </w:r>
      <w:r>
        <w:rPr>
          <w:b/>
        </w:rPr>
        <w:t>once</w:t>
      </w:r>
      <w:r>
        <w:t>. That is the point of writing it down here.</w:t>
      </w:r>
    </w:p>
    <w:p>
      <w:r>
        <w:br w:type="page"/>
      </w:r>
    </w:p>
    <w:p>
      <w:pPr>
        <w:pStyle w:val="Heading2"/>
      </w:pPr>
      <w:r>
        <w:t>1. Where it goes in Chapter 1</w:t>
      </w:r>
    </w:p>
    <w:p>
      <w:pPr>
        <w:jc w:val="both"/>
      </w:pPr>
      <w:r>
        <w:t xml:space="preserve">A new </w:t>
      </w:r>
      <w:r>
        <w:rPr>
          <w:b/>
        </w:rPr>
        <w:t>§1.1.2, "Where the speed requirement comes from"</w:t>
      </w:r>
      <w:r>
        <w:t>, between the definitional material</w:t>
      </w:r>
    </w:p>
    <w:p>
      <w:pPr>
        <w:jc w:val="both"/>
      </w:pPr>
      <w:r>
        <w:t>of §1.1.1 and the history of the direct-drive transition. The present §1.1.2 becomes §1.1.3.</w:t>
      </w:r>
    </w:p>
    <w:p>
      <w:pPr>
        <w:jc w:val="both"/>
      </w:pPr>
      <w:r>
        <w:t>The chapter asserts the speed requirement four times before it is a third through — "required</w:t>
      </w:r>
    </w:p>
    <w:p>
      <w:pPr>
        <w:jc w:val="both"/>
      </w:pPr>
      <w:r>
        <w:t>for compressors, pumps, and fans"; "the necessary impeller tip speeds"; "the turbine's native</w:t>
      </w:r>
    </w:p>
    <w:p>
      <w:pPr>
        <w:jc w:val="both"/>
      </w:pPr>
      <w:r>
        <w:t>speed"; "a 2-pole machine at 30 000 r/min" — and never says who decides the number. "Native</w:t>
      </w:r>
    </w:p>
    <w:p>
      <w:pPr>
        <w:jc w:val="both"/>
      </w:pPr>
      <w:r>
        <w:t>speed" is specific speed under another name, used without definition. One subsection ahead of</w:t>
      </w:r>
    </w:p>
    <w:p>
      <w:pPr>
        <w:jc w:val="both"/>
      </w:pPr>
      <w:r>
        <w:t>all four closes the hole.</w:t>
      </w:r>
    </w:p>
    <w:p>
      <w:pPr>
        <w:jc w:val="both"/>
      </w:pPr>
      <w:r>
        <w:t>Renumbering is safe: nothing in the chapter cross-references §1.1.2 by number, and the one</w:t>
      </w:r>
    </w:p>
    <w:p>
      <w:pPr>
        <w:jc w:val="both"/>
      </w:pPr>
      <w:r>
        <w:t>numbered reference in that region is to §1.1.1, which is unaffected.</w:t>
      </w:r>
    </w:p>
    <w:p>
      <w:pPr>
        <w:jc w:val="both"/>
      </w:pPr>
      <w:r>
        <w:t>Chapter 1's equations are unnumbered. Six new ones need numbers, so either §1.1.2 numbers its</w:t>
      </w:r>
    </w:p>
    <w:p>
      <w:pPr>
        <w:jc w:val="both"/>
      </w:pPr>
      <w:r>
        <w:t>own (1.1)–(1.6) and the rest of the chapter stays as it is, or the whole chapter is numbered.</w:t>
      </w:r>
    </w:p>
    <w:p>
      <w:pPr>
        <w:jc w:val="both"/>
      </w:pPr>
      <w:r>
        <w:t>The first is less work and reads normally.</w:t>
      </w:r>
    </w:p>
    <w:p>
      <w:pPr>
        <w:jc w:val="both"/>
      </w:pPr>
      <w:r>
        <w:rPr>
          <w:b/>
        </w:rPr>
        <w:t>Budget.</w:t>
      </w:r>
      <w:r>
        <w:t xml:space="preserve"> 26 → 28 pages, 4 → 5 tables, figures unchanged at 9. Book total 452 → 454, still</w:t>
      </w:r>
    </w:p>
    <w:p>
      <w:pPr>
        <w:jc w:val="both"/>
      </w:pPr>
      <w:r>
        <w:t>well inside the 500-page ceiling.</w:t>
      </w:r>
    </w:p>
    <w:p>
      <w:pPr>
        <w:jc w:val="both"/>
      </w:pPr>
      <w:r>
        <w:rPr>
          <w:b/>
        </w:rPr>
        <w:t>Credit.</w:t>
      </w:r>
      <w:r>
        <w:t xml:space="preserve"> Ahti is named at the head of Chapter 1 as the contributor of §1.1.2. The owners</w:t>
      </w:r>
    </w:p>
    <w:p>
      <w:pPr>
        <w:jc w:val="both"/>
      </w:pPr>
      <w:r>
        <w:t>table now carries that row.</w:t>
      </w:r>
    </w:p>
    <w:p>
      <w:r>
        <w:br w:type="page"/>
      </w:r>
    </w:p>
    <w:p>
      <w:pPr>
        <w:pStyle w:val="Heading2"/>
      </w:pPr>
      <w:r>
        <w:t>2. What changes in Chapter 2</w:t>
      </w:r>
    </w:p>
    <w:p>
      <w:pPr>
        <w:jc w:val="both"/>
      </w:pPr>
      <w:r>
        <w:t>§2.2 was "Why the driven machine sets the speed: specific speed and the turbomachinery</w:t>
      </w:r>
    </w:p>
    <w:p>
      <w:pPr>
        <w:jc w:val="both"/>
      </w:pPr>
      <w:r>
        <w:t>optimum". With the derivation in Chapter 1 that section would repeat two pages of a 500-page</w:t>
      </w:r>
    </w:p>
    <w:p>
      <w:pPr>
        <w:jc w:val="both"/>
      </w:pPr>
      <w:r>
        <w:t>book and put two contributors on the same ground. It is retitled and rescoped:</w:t>
      </w:r>
    </w:p>
    <w:p>
      <w:pPr>
        <w:jc w:val="both"/>
      </w:pPr>
      <w:r>
        <w:t>&gt; **2.2 From duty to speed: where the industrial applications fall in the specific-speed</w:t>
      </w:r>
    </w:p>
    <w:p>
      <w:pPr>
        <w:jc w:val="both"/>
      </w:pPr>
      <w:r>
        <w:t>&gt; bands** (the relation itself is derived in §1.1.2)</w:t>
      </w:r>
    </w:p>
    <w:p>
      <w:pPr>
        <w:jc w:val="both"/>
      </w:pPr>
      <w:r>
        <w:t>and the chapter abstract now reads, in its opening:</w:t>
      </w:r>
    </w:p>
    <w:p>
      <w:pPr>
        <w:jc w:val="both"/>
      </w:pPr>
      <w:r>
        <w:t>&gt; It begins from the driven machine rather than the motor, because that is where the speed</w:t>
      </w:r>
    </w:p>
    <w:p>
      <w:pPr>
        <w:jc w:val="both"/>
      </w:pPr>
      <w:r>
        <w:t>&gt; requirement originates. The specific-speed relation itself is derived once, in §1.1.2, and</w:t>
      </w:r>
    </w:p>
    <w:p>
      <w:pPr>
        <w:jc w:val="both"/>
      </w:pPr>
      <w:r>
        <w:t>&gt; is not repeated here; this chapter takes it as given and asks where each industrial duty</w:t>
      </w:r>
    </w:p>
    <w:p>
      <w:pPr>
        <w:jc w:val="both"/>
      </w:pPr>
      <w:r>
        <w:t>&gt; falls against it, so that the reader sees why one application lands at 30 000 r/min and</w:t>
      </w:r>
    </w:p>
    <w:p>
      <w:pPr>
        <w:jc w:val="both"/>
      </w:pPr>
      <w:r>
        <w:t>&gt; another at 100 000.</w:t>
      </w:r>
    </w:p>
    <w:p>
      <w:pPr>
        <w:jc w:val="both"/>
      </w:pPr>
      <w:r>
        <w:t xml:space="preserve">This is a better section for Saari than the old one. Deriving </w:t>
      </w:r>
      <w:r>
        <w:rPr>
          <w:i/>
        </w:rPr>
        <w:t>N</w:t>
      </w:r>
      <w:r>
        <w:t>s is not what he brings;</w:t>
      </w:r>
    </w:p>
    <w:p>
      <w:pPr>
        <w:jc w:val="both"/>
      </w:pPr>
      <w:r>
        <w:t>knowing which duty lands where, and what that costs in machine terms, is.</w:t>
      </w:r>
    </w:p>
    <w:p>
      <w:pPr>
        <w:jc w:val="both"/>
      </w:pPr>
      <w:r>
        <w:t>The owner note also drops the clause asking him to recruit a co-author for §2.2. He no longer</w:t>
      </w:r>
    </w:p>
    <w:p>
      <w:pPr>
        <w:jc w:val="both"/>
      </w:pPr>
      <w:r>
        <w:t>needs one there — §2.2 rests on §1.1.2.</w:t>
      </w:r>
    </w:p>
    <w:p>
      <w:pPr>
        <w:jc w:val="both"/>
      </w:pPr>
      <w:r>
        <w:rPr>
          <w:b/>
        </w:rPr>
        <w:t>He has the old wording.</w:t>
      </w:r>
      <w:r>
        <w:t xml:space="preserve"> The table of contents already sent to him carries the old §2.2</w:t>
      </w:r>
    </w:p>
    <w:p>
      <w:pPr>
        <w:jc w:val="both"/>
      </w:pPr>
      <w:r>
        <w:t>title. Nothing starts before a contract, so there is no risk of wasted writing, but the</w:t>
      </w:r>
    </w:p>
    <w:p>
      <w:pPr>
        <w:jc w:val="both"/>
      </w:pPr>
      <w:r>
        <w:t>detailed section structure he is waiting for must carry the new wording, and it is worth one</w:t>
      </w:r>
    </w:p>
    <w:p>
      <w:pPr>
        <w:jc w:val="both"/>
      </w:pPr>
      <w:r>
        <w:t>line in the covering note so he sees the change rather than discovers it.</w:t>
      </w:r>
    </w:p>
    <w:p>
      <w:r>
        <w:br w:type="page"/>
      </w:r>
    </w:p>
    <w:p>
      <w:pPr>
        <w:pStyle w:val="Heading2"/>
      </w:pPr>
      <w:r>
        <w:t>3. Draft of §1.1.2</w:t>
      </w:r>
    </w:p>
    <w:p>
      <w:pPr>
        <w:jc w:val="both"/>
      </w:pPr>
      <w:r>
        <w:t>Ahti's draft 2 carried through, with the corrections from `incoming/ahti_specific_speed/`</w:t>
      </w:r>
    </w:p>
    <w:p>
      <w:pPr>
        <w:jc w:val="both"/>
      </w:pPr>
      <w:r>
        <w:t xml:space="preserve">applied: Ω restored inside equation (1.1), </w:t>
      </w:r>
      <w:r>
        <w:rPr>
          <w:i/>
        </w:rPr>
        <w:t>R</w:t>
      </w:r>
      <w:r>
        <w:t>u in the numerator of (1.3), densities</w:t>
      </w:r>
    </w:p>
    <w:p>
      <w:pPr>
        <w:jc w:val="both"/>
      </w:pPr>
      <w:r>
        <w:t xml:space="preserve">recomputed at the 15 °C the table states, ρ in kg/m³, and </w:t>
      </w:r>
      <w:r>
        <w:rPr>
          <w:i/>
        </w:rPr>
        <w:t>T</w:t>
      </w:r>
      <w:r>
        <w:t>in added as a column.</w:t>
      </w:r>
    </w:p>
    <w:p>
      <w:pPr>
        <w:jc w:val="both"/>
      </w:pPr>
      <w:r>
        <w:t>&gt; ### 1.1.2 Where the speed requirement comes from</w:t>
      </w:r>
    </w:p>
    <w:p>
      <w:pPr>
        <w:jc w:val="both"/>
      </w:pPr>
      <w:r>
        <w:t>&gt;</w:t>
      </w:r>
    </w:p>
    <w:p>
      <w:pPr>
        <w:jc w:val="both"/>
      </w:pPr>
      <w:r>
        <w:t>&gt; The preceding section asked what counts as a high-speed machine. It did not ask why any</w:t>
      </w:r>
    </w:p>
    <w:p>
      <w:pPr>
        <w:jc w:val="both"/>
      </w:pPr>
      <w:r>
        <w:t>&gt; machine should have to be one, and the answer is not an electrical one. In almost every</w:t>
      </w:r>
    </w:p>
    <w:p>
      <w:pPr>
        <w:jc w:val="both"/>
      </w:pPr>
      <w:r>
        <w:t>&gt; application treated in this book the rotational speed reaches the electrical designer</w:t>
      </w:r>
    </w:p>
    <w:p>
      <w:pPr>
        <w:jc w:val="both"/>
      </w:pPr>
      <w:r>
        <w:t>&gt; already fixed, decided by the machine being driven.</w:t>
      </w:r>
    </w:p>
    <w:p>
      <w:pPr>
        <w:jc w:val="both"/>
      </w:pPr>
      <w:r>
        <w:t>&gt;</w:t>
      </w:r>
    </w:p>
    <w:p>
      <w:pPr>
        <w:jc w:val="both"/>
      </w:pPr>
      <w:r>
        <w:t>&gt; Turbomachinery design begins from the specific speed,</w:t>
      </w:r>
    </w:p>
    <w:p>
      <w:pPr>
        <w:jc w:val="both"/>
      </w:pPr>
      <w:r>
        <w:t>&gt;</w:t>
      </w:r>
    </w:p>
    <w:p>
      <w:pPr>
        <w:jc w:val="both"/>
      </w:pPr>
      <w:r>
        <w:t xml:space="preserve">&gt; &gt; </w:t>
      </w:r>
      <w:r>
        <w:rPr>
          <w:i/>
        </w:rPr>
        <w:t>N</w:t>
      </w:r>
      <w:r>
        <w:t>s = Ω √</w:t>
      </w:r>
      <w:r>
        <w:rPr>
          <w:i/>
        </w:rPr>
        <w:t>q</w:t>
      </w:r>
      <w:r>
        <w:t>v,in ⁄ Δ</w:t>
      </w:r>
      <w:r>
        <w:rPr>
          <w:i/>
        </w:rPr>
        <w:t>h</w:t>
      </w:r>
      <w:r>
        <w:t>s^(3/4)  (1.1)</w:t>
      </w:r>
    </w:p>
    <w:p>
      <w:pPr>
        <w:jc w:val="both"/>
      </w:pPr>
      <w:r>
        <w:t>&gt;</w:t>
      </w:r>
    </w:p>
    <w:p>
      <w:pPr>
        <w:jc w:val="both"/>
      </w:pPr>
      <w:r>
        <w:t xml:space="preserve">&gt; in which Ω [rad/s] is the angular velocity, </w:t>
      </w:r>
      <w:r>
        <w:rPr>
          <w:i/>
        </w:rPr>
        <w:t>q</w:t>
      </w:r>
      <w:r>
        <w:t>v,in [m³/s] the inlet volumetric flow rate</w:t>
      </w:r>
    </w:p>
    <w:p>
      <w:pPr>
        <w:jc w:val="both"/>
      </w:pPr>
      <w:r>
        <w:t>&gt; and Δ</w:t>
      </w:r>
      <w:r>
        <w:rPr>
          <w:i/>
        </w:rPr>
        <w:t>h</w:t>
      </w:r>
      <w:r>
        <w:t>s [J/kg] the isentropic enthalpy difference the stage must produce. The group is</w:t>
      </w:r>
    </w:p>
    <w:p>
      <w:pPr>
        <w:jc w:val="both"/>
      </w:pPr>
      <w:r>
        <w:t>&gt; dimensionless, and it applies to every class of turbomachine: axial and radial compressors,</w:t>
      </w:r>
    </w:p>
    <w:p>
      <w:pPr>
        <w:jc w:val="both"/>
      </w:pPr>
      <w:r>
        <w:t>&gt; axial and radial turbines, pumps and fans. The inlet volume flow follows from the required</w:t>
      </w:r>
    </w:p>
    <w:p>
      <w:pPr>
        <w:jc w:val="both"/>
      </w:pPr>
      <w:r>
        <w:t>&gt; mass flow and the inlet thermodynamic state; the isentropic enthalpy difference follows from</w:t>
      </w:r>
    </w:p>
    <w:p>
      <w:pPr>
        <w:jc w:val="both"/>
      </w:pPr>
      <w:r>
        <w:t>&gt; the inlet state, the required pressure ratio and the working fluid itself.</w:t>
      </w:r>
    </w:p>
    <w:p>
      <w:pPr>
        <w:jc w:val="both"/>
      </w:pPr>
      <w:r>
        <w:t>&gt;</w:t>
      </w:r>
    </w:p>
    <w:p>
      <w:pPr>
        <w:jc w:val="both"/>
      </w:pPr>
      <w:r>
        <w:t xml:space="preserve">&gt; For each class of machine there is a band of </w:t>
      </w:r>
      <w:r>
        <w:rPr>
          <w:i/>
        </w:rPr>
        <w:t>N</w:t>
      </w:r>
      <w:r>
        <w:t>s within which good isentropic efficiency can</w:t>
      </w:r>
    </w:p>
    <w:p>
      <w:pPr>
        <w:jc w:val="both"/>
      </w:pPr>
      <w:r>
        <w:t>&gt; be reached; for centrifugal compressors that band is roughly 0.6 to 0.9 [Rodgers, 1980].</w:t>
      </w:r>
    </w:p>
    <w:p>
      <w:pPr>
        <w:jc w:val="both"/>
      </w:pPr>
      <w:r>
        <w:t>&gt; Once the designer has chosen a design specific speed, the corresponding rotational speed</w:t>
      </w:r>
    </w:p>
    <w:p>
      <w:pPr>
        <w:jc w:val="both"/>
      </w:pPr>
      <w:r>
        <w:t>&gt; follows. The bands are semi-empirical guidelines rather than hard limits, and it is</w:t>
      </w:r>
    </w:p>
    <w:p>
      <w:pPr>
        <w:jc w:val="both"/>
      </w:pPr>
      <w:r>
        <w:t>&gt; sometimes worth designing off-optimum and paying for it in efficiency, but they are narrow</w:t>
      </w:r>
    </w:p>
    <w:p>
      <w:pPr>
        <w:jc w:val="both"/>
      </w:pPr>
      <w:r>
        <w:t>&gt; enough to settle the answer.</w:t>
      </w:r>
    </w:p>
    <w:p>
      <w:pPr>
        <w:jc w:val="both"/>
      </w:pPr>
      <w:r>
        <w:t>&gt;</w:t>
      </w:r>
    </w:p>
    <w:p>
      <w:pPr>
        <w:jc w:val="both"/>
      </w:pPr>
      <w:r>
        <w:t>&gt; For an ideal gas the quantities in (1.1) are available in closed form. The isentropic</w:t>
      </w:r>
    </w:p>
    <w:p>
      <w:pPr>
        <w:jc w:val="both"/>
      </w:pPr>
      <w:r>
        <w:t>&gt; enthalpy rise is</w:t>
      </w:r>
    </w:p>
    <w:p>
      <w:pPr>
        <w:jc w:val="both"/>
      </w:pPr>
      <w:r>
        <w:t>&gt;</w:t>
      </w:r>
    </w:p>
    <w:p>
      <w:pPr>
        <w:jc w:val="both"/>
      </w:pPr>
      <w:r>
        <w:t>&gt; &gt; Δ</w:t>
      </w:r>
      <w:r>
        <w:rPr>
          <w:i/>
        </w:rPr>
        <w:t>h</w:t>
      </w:r>
      <w:r>
        <w:t xml:space="preserve">s = </w:t>
      </w:r>
      <w:r>
        <w:rPr>
          <w:i/>
        </w:rPr>
        <w:t>R</w:t>
      </w:r>
      <w:r>
        <w:t>i (1 − 1/γ)⁻¹ (</w:t>
      </w:r>
      <w:r>
        <w:rPr>
          <w:i/>
        </w:rPr>
        <w:t>T</w:t>
      </w:r>
      <w:r>
        <w:t xml:space="preserve">out,s − </w:t>
      </w:r>
      <w:r>
        <w:rPr>
          <w:i/>
        </w:rPr>
        <w:t>T</w:t>
      </w:r>
      <w:r>
        <w:t>in)  (1.2)</w:t>
      </w:r>
    </w:p>
    <w:p>
      <w:pPr>
        <w:jc w:val="both"/>
      </w:pPr>
      <w:r>
        <w:t>&gt;</w:t>
      </w:r>
    </w:p>
    <w:p>
      <w:pPr>
        <w:jc w:val="both"/>
      </w:pPr>
      <w:r>
        <w:t xml:space="preserve">&gt; where </w:t>
      </w:r>
      <w:r>
        <w:rPr>
          <w:i/>
        </w:rPr>
        <w:t>R</w:t>
      </w:r>
      <w:r>
        <w:t>i [J/kg K] is the specific gas constant, γ the ratio of specific heat capacities and</w:t>
      </w:r>
    </w:p>
    <w:p>
      <w:pPr>
        <w:jc w:val="both"/>
      </w:pPr>
      <w:r>
        <w:t xml:space="preserve">&gt; </w:t>
      </w:r>
      <w:r>
        <w:rPr>
          <w:i/>
        </w:rPr>
        <w:t>T</w:t>
      </w:r>
      <w:r>
        <w:t>out,s [K] the isentropic outlet temperature. The specific gas constant is</w:t>
      </w:r>
    </w:p>
    <w:p>
      <w:pPr>
        <w:jc w:val="both"/>
      </w:pPr>
      <w:r>
        <w:t>&gt;</w:t>
      </w:r>
    </w:p>
    <w:p>
      <w:pPr>
        <w:jc w:val="both"/>
      </w:pPr>
      <w:r>
        <w:t xml:space="preserve">&gt; &gt; </w:t>
      </w:r>
      <w:r>
        <w:rPr>
          <w:i/>
        </w:rPr>
        <w:t>R</w:t>
      </w:r>
      <w:r>
        <w:t xml:space="preserve">i = </w:t>
      </w:r>
      <w:r>
        <w:rPr>
          <w:i/>
        </w:rPr>
        <w:t>R</w:t>
      </w:r>
      <w:r>
        <w:t xml:space="preserve">u ⁄ </w:t>
      </w:r>
      <w:r>
        <w:rPr>
          <w:i/>
        </w:rPr>
        <w:t>M</w:t>
      </w:r>
      <w:r>
        <w:t xml:space="preserve">  (1.3)</w:t>
      </w:r>
    </w:p>
    <w:p>
      <w:pPr>
        <w:jc w:val="both"/>
      </w:pPr>
      <w:r>
        <w:t>&gt;</w:t>
      </w:r>
    </w:p>
    <w:p>
      <w:pPr>
        <w:jc w:val="both"/>
      </w:pPr>
      <w:r>
        <w:t xml:space="preserve">&gt; with </w:t>
      </w:r>
      <w:r>
        <w:rPr>
          <w:i/>
        </w:rPr>
        <w:t>R</w:t>
      </w:r>
      <w:r>
        <w:t xml:space="preserve">u [J/mol K] the universal gas constant and </w:t>
      </w:r>
      <w:r>
        <w:rPr>
          <w:i/>
        </w:rPr>
        <w:t>M</w:t>
      </w:r>
      <w:r>
        <w:t xml:space="preserve"> [kg/mol] the molar mass of the working</w:t>
      </w:r>
    </w:p>
    <w:p>
      <w:pPr>
        <w:jc w:val="both"/>
      </w:pPr>
      <w:r>
        <w:t>&gt; fluid; the isentropic outlet temperature is</w:t>
      </w:r>
    </w:p>
    <w:p>
      <w:pPr>
        <w:jc w:val="both"/>
      </w:pPr>
      <w:r>
        <w:t>&gt;</w:t>
      </w:r>
    </w:p>
    <w:p>
      <w:pPr>
        <w:jc w:val="both"/>
      </w:pPr>
      <w:r>
        <w:t xml:space="preserve">&gt; &gt; </w:t>
      </w:r>
      <w:r>
        <w:rPr>
          <w:i/>
        </w:rPr>
        <w:t>T</w:t>
      </w:r>
      <w:r>
        <w:t xml:space="preserve">out,s = </w:t>
      </w:r>
      <w:r>
        <w:rPr>
          <w:i/>
        </w:rPr>
        <w:t>T</w:t>
      </w:r>
      <w:r>
        <w:t>in (PR)^((γ−1)/γ)  (1.4)</w:t>
      </w:r>
    </w:p>
    <w:p>
      <w:pPr>
        <w:jc w:val="both"/>
      </w:pPr>
      <w:r>
        <w:t>&gt;</w:t>
      </w:r>
    </w:p>
    <w:p>
      <w:pPr>
        <w:jc w:val="both"/>
      </w:pPr>
      <w:r>
        <w:t>&gt; for a pressure ratio PR; the inlet volume flow is</w:t>
      </w:r>
    </w:p>
    <w:p>
      <w:pPr>
        <w:jc w:val="both"/>
      </w:pPr>
      <w:r>
        <w:t>&gt;</w:t>
      </w:r>
    </w:p>
    <w:p>
      <w:pPr>
        <w:jc w:val="both"/>
      </w:pPr>
      <w:r>
        <w:t xml:space="preserve">&gt; &gt; </w:t>
      </w:r>
      <w:r>
        <w:rPr>
          <w:i/>
        </w:rPr>
        <w:t>q</w:t>
      </w:r>
      <w:r>
        <w:t xml:space="preserve">v,in = </w:t>
      </w:r>
      <w:r>
        <w:rPr>
          <w:i/>
        </w:rPr>
        <w:t>q</w:t>
      </w:r>
      <w:r>
        <w:t>m ⁄ ρin  (1.5)</w:t>
      </w:r>
    </w:p>
    <w:p>
      <w:pPr>
        <w:jc w:val="both"/>
      </w:pPr>
      <w:r>
        <w:t>&gt;</w:t>
      </w:r>
    </w:p>
    <w:p>
      <w:pPr>
        <w:jc w:val="both"/>
      </w:pPr>
      <w:r>
        <w:t xml:space="preserve">&gt; for a desired mass flow </w:t>
      </w:r>
      <w:r>
        <w:rPr>
          <w:i/>
        </w:rPr>
        <w:t>q</w:t>
      </w:r>
      <w:r>
        <w:t>m [kg/s]; and for a perfect gas the inlet density comes from the</w:t>
      </w:r>
    </w:p>
    <w:p>
      <w:pPr>
        <w:jc w:val="both"/>
      </w:pPr>
      <w:r>
        <w:t>&gt; equation of state,</w:t>
      </w:r>
    </w:p>
    <w:p>
      <w:pPr>
        <w:jc w:val="both"/>
      </w:pPr>
      <w:r>
        <w:t>&gt;</w:t>
      </w:r>
    </w:p>
    <w:p>
      <w:pPr>
        <w:jc w:val="both"/>
      </w:pPr>
      <w:r>
        <w:t xml:space="preserve">&gt; &gt; ρin = </w:t>
      </w:r>
      <w:r>
        <w:rPr>
          <w:i/>
        </w:rPr>
        <w:t>p</w:t>
      </w:r>
      <w:r>
        <w:t>in ⁄ (</w:t>
      </w:r>
      <w:r>
        <w:rPr>
          <w:i/>
        </w:rPr>
        <w:t>R</w:t>
      </w:r>
      <w:r>
        <w:t xml:space="preserve">i </w:t>
      </w:r>
      <w:r>
        <w:rPr>
          <w:i/>
        </w:rPr>
        <w:t>T</w:t>
      </w:r>
      <w:r>
        <w:t>in)  (1.6)</w:t>
      </w:r>
    </w:p>
    <w:p>
      <w:pPr>
        <w:jc w:val="both"/>
      </w:pPr>
      <w:r>
        <w:t>&gt;</w:t>
      </w:r>
    </w:p>
    <w:p>
      <w:pPr>
        <w:jc w:val="both"/>
      </w:pPr>
      <w:r>
        <w:t>&gt; For working fluids that are not well approximated as ideal — refrigerants, organic Rankine</w:t>
      </w:r>
    </w:p>
    <w:p>
      <w:pPr>
        <w:jc w:val="both"/>
      </w:pPr>
      <w:r>
        <w:t>&gt; cycle fluids, steam, carbon dioxide near its critical point — the properties must be taken</w:t>
      </w:r>
    </w:p>
    <w:p>
      <w:pPr>
        <w:jc w:val="both"/>
      </w:pPr>
      <w:r>
        <w:t>&gt; from a thermodynamic library such as CoolProp or REFPROP, and the structure of the</w:t>
      </w:r>
    </w:p>
    <w:p>
      <w:pPr>
        <w:jc w:val="both"/>
      </w:pPr>
      <w:r>
        <w:t>&gt; calculation is unchanged.</w:t>
      </w:r>
    </w:p>
    <w:p>
      <w:pPr>
        <w:jc w:val="both"/>
      </w:pPr>
      <w:r>
        <w:t>&gt;</w:t>
      </w:r>
    </w:p>
    <w:p>
      <w:pPr>
        <w:jc w:val="both"/>
      </w:pPr>
      <w:r>
        <w:t xml:space="preserve">&gt; </w:t>
      </w:r>
      <w:r>
        <w:rPr>
          <w:b/>
        </w:rPr>
        <w:t>Table 1.x</w:t>
      </w:r>
      <w:r>
        <w:t xml:space="preserve"> applies this to two compressors with identical duty and different working</w:t>
      </w:r>
    </w:p>
    <w:p>
      <w:pPr>
        <w:jc w:val="both"/>
      </w:pPr>
      <w:r>
        <w:t>&gt; fluids. Both draw 3 kg/s at 1 bar and 15 °C and deliver a pressure ratio of 3, and both are</w:t>
      </w:r>
    </w:p>
    <w:p>
      <w:pPr>
        <w:jc w:val="both"/>
      </w:pPr>
      <w:r>
        <w:t xml:space="preserve">&gt; designed at </w:t>
      </w:r>
      <w:r>
        <w:rPr>
          <w:i/>
        </w:rPr>
        <w:t>N</w:t>
      </w:r>
      <w:r>
        <w:t>s = 0.80, the middle of the centrifugal band.</w:t>
      </w:r>
    </w:p>
    <w:p>
      <w:pPr>
        <w:jc w:val="both"/>
      </w:pPr>
      <w:r>
        <w:t>&gt;</w:t>
      </w:r>
    </w:p>
    <w:p>
      <w:pPr>
        <w:jc w:val="both"/>
      </w:pPr>
      <w:r>
        <w:t xml:space="preserve">&gt; | | Fluid | </w:t>
      </w:r>
      <w:r>
        <w:rPr>
          <w:i/>
        </w:rPr>
        <w:t>M</w:t>
      </w:r>
      <w:r>
        <w:t xml:space="preserve"> [kg/mol] | </w:t>
      </w:r>
      <w:r>
        <w:rPr>
          <w:i/>
        </w:rPr>
        <w:t>R</w:t>
      </w:r>
      <w:r>
        <w:t xml:space="preserve">i [J/kg K] | γ | </w:t>
      </w:r>
      <w:r>
        <w:rPr>
          <w:i/>
        </w:rPr>
        <w:t>T</w:t>
      </w:r>
      <w:r>
        <w:t xml:space="preserve">in [K] | ρin [kg/m³] | </w:t>
      </w:r>
      <w:r>
        <w:rPr>
          <w:i/>
        </w:rPr>
        <w:t>q</w:t>
      </w:r>
      <w:r>
        <w:t>v,in [m³/s] | Δ</w:t>
      </w:r>
      <w:r>
        <w:rPr>
          <w:i/>
        </w:rPr>
        <w:t>h</w:t>
      </w:r>
      <w:r>
        <w:t xml:space="preserve">s [J/kg] | </w:t>
      </w:r>
      <w:r>
        <w:rPr>
          <w:i/>
        </w:rPr>
        <w:t>N</w:t>
      </w:r>
      <w:r>
        <w:t xml:space="preserve"> [r/min] |</w:t>
      </w:r>
    </w:p>
    <w:p>
      <w:pPr>
        <w:jc w:val="both"/>
      </w:pPr>
      <w:r>
        <w:t>&gt; |---|---|---|---|---|---|---|---|---|---|</w:t>
      </w:r>
    </w:p>
    <w:p>
      <w:pPr>
        <w:jc w:val="both"/>
      </w:pPr>
      <w:r>
        <w:t>&gt; | Compressor | air | 0.0290 | 287 | 1.40 | 288 | 1.209 | 2.481 | 106 700 | 28 640 |</w:t>
      </w:r>
    </w:p>
    <w:p>
      <w:pPr>
        <w:jc w:val="both"/>
      </w:pPr>
      <w:r>
        <w:t>&gt; | Compressor | hydrogen | 0.0020 | 4157 | 1.41 | 288 | 0.0835 | 35.94 | 1 550 400 | 55 990 |</w:t>
      </w:r>
    </w:p>
    <w:p>
      <w:pPr>
        <w:jc w:val="both"/>
      </w:pPr>
      <w:r>
        <w:t>&gt;</w:t>
      </w:r>
    </w:p>
    <w:p>
      <w:pPr>
        <w:jc w:val="both"/>
      </w:pPr>
      <w:r>
        <w:t>&gt; Two things in that table carry the argument of this book. The first is that nothing</w:t>
      </w:r>
    </w:p>
    <w:p>
      <w:pPr>
        <w:jc w:val="both"/>
      </w:pPr>
      <w:r>
        <w:t>&gt; electrical entered the calculation. The air machine is the industrial compressor drive used</w:t>
      </w:r>
    </w:p>
    <w:p>
      <w:pPr>
        <w:jc w:val="both"/>
      </w:pPr>
      <w:r>
        <w:t>&gt; as a running example throughout these chapters: its duty alone gives close to 29 000 r/min,</w:t>
      </w:r>
    </w:p>
    <w:p>
      <w:pPr>
        <w:jc w:val="both"/>
      </w:pPr>
      <w:r>
        <w:t>&gt; which is why 30 000 r/min recurs as the nominal figure, and some 320 kW of isentropic work,</w:t>
      </w:r>
    </w:p>
    <w:p>
      <w:pPr>
        <w:jc w:val="both"/>
      </w:pPr>
      <w:r>
        <w:t>&gt; about 400 kW at the shaft. The speed was decided by aerodynamics, and the electrical machine</w:t>
      </w:r>
    </w:p>
    <w:p>
      <w:pPr>
        <w:jc w:val="both"/>
      </w:pPr>
      <w:r>
        <w:t>&gt; is required to deliver it.</w:t>
      </w:r>
    </w:p>
    <w:p>
      <w:pPr>
        <w:jc w:val="both"/>
      </w:pPr>
      <w:r>
        <w:t>&gt;</w:t>
      </w:r>
    </w:p>
    <w:p>
      <w:pPr>
        <w:jc w:val="both"/>
      </w:pPr>
      <w:r>
        <w:t>&gt; The second is the effect of the working fluid. Δ</w:t>
      </w:r>
      <w:r>
        <w:rPr>
          <w:i/>
        </w:rPr>
        <w:t>h</w:t>
      </w:r>
      <w:r>
        <w:t>s rises as the molar mass falls — equations</w:t>
      </w:r>
    </w:p>
    <w:p>
      <w:pPr>
        <w:jc w:val="both"/>
      </w:pPr>
      <w:r>
        <w:t>&gt; (1.2) and (1.3) — so the same duty in hydrogen demands an isentropic enthalpy rise about</w:t>
      </w:r>
    </w:p>
    <w:p>
      <w:pPr>
        <w:jc w:val="both"/>
      </w:pPr>
      <w:r>
        <w:t>&gt; 14.5 times that in air, and, through (1.1), very nearly twice the shaft speed. That is why</w:t>
      </w:r>
    </w:p>
    <w:p>
      <w:pPr>
        <w:jc w:val="both"/>
      </w:pPr>
      <w:r>
        <w:t>&gt; hydrogen compression is a driver of high-speed machine development rather than an</w:t>
      </w:r>
    </w:p>
    <w:p>
      <w:pPr>
        <w:jc w:val="both"/>
      </w:pPr>
      <w:r>
        <w:t>&gt; application of the machines that already exist, and it is treated as such in §2.8.</w:t>
      </w:r>
    </w:p>
    <w:p>
      <w:pPr>
        <w:jc w:val="both"/>
      </w:pPr>
      <w:r>
        <w:t>&gt;</w:t>
      </w:r>
    </w:p>
    <w:p>
      <w:pPr>
        <w:jc w:val="both"/>
      </w:pPr>
      <w:r>
        <w:t>&gt; Equation (1.1) also says, for a fixed fluid, inlet state and design specific speed, that the</w:t>
      </w:r>
    </w:p>
    <w:p>
      <w:pPr>
        <w:jc w:val="both"/>
      </w:pPr>
      <w:r>
        <w:t>&gt; larger the mass flow the lower the speed, and the higher the pressure ratio the higher the</w:t>
      </w:r>
    </w:p>
    <w:p>
      <w:pPr>
        <w:jc w:val="both"/>
      </w:pPr>
      <w:r>
        <w:t>&gt; speed. Small machines run fast. This is the mechanism behind the e-turbocharger of §2.7,</w:t>
      </w:r>
    </w:p>
    <w:p>
      <w:pPr>
        <w:jc w:val="both"/>
      </w:pPr>
      <w:r>
        <w:t>&gt; where a mass flow two orders of magnitude below the compressor above puts the design speed</w:t>
      </w:r>
    </w:p>
    <w:p>
      <w:pPr>
        <w:jc w:val="both"/>
      </w:pPr>
      <w:r>
        <w:t>&gt; past 100 000 r/min.</w:t>
      </w:r>
    </w:p>
    <w:p>
      <w:pPr>
        <w:jc w:val="both"/>
      </w:pPr>
      <w:r>
        <w:t>&gt;</w:t>
      </w:r>
    </w:p>
    <w:p>
      <w:pPr>
        <w:jc w:val="both"/>
      </w:pPr>
      <w:r>
        <w:t>&gt; Two consequences organise the rest of the book. The speed is not among the quantities the</w:t>
      </w:r>
    </w:p>
    <w:p>
      <w:pPr>
        <w:jc w:val="both"/>
      </w:pPr>
      <w:r>
        <w:t>&gt; machine designer may trade: pole number, rotor diameter, bearing type, cooling architecture</w:t>
      </w:r>
    </w:p>
    <w:p>
      <w:pPr>
        <w:jc w:val="both"/>
      </w:pPr>
      <w:r>
        <w:t>&gt; and converter are all negotiable, the number on the nameplate is not, and a sizing procedure</w:t>
      </w:r>
    </w:p>
    <w:p>
      <w:pPr>
        <w:jc w:val="both"/>
      </w:pPr>
      <w:r>
        <w:t>&gt; that treats it as an input rather than a boundary condition fails in the way described in</w:t>
      </w:r>
    </w:p>
    <w:p>
      <w:pPr>
        <w:jc w:val="both"/>
      </w:pPr>
      <w:r>
        <w:t>&gt; Chapter 7. And the speed arrives before any electromagnetic decision has been taken, which</w:t>
      </w:r>
    </w:p>
    <w:p>
      <w:pPr>
        <w:jc w:val="both"/>
      </w:pPr>
      <w:r>
        <w:t>&gt; is why this book runs the design sequence in the order it does.</w:t>
      </w:r>
    </w:p>
    <w:p>
      <w:pPr>
        <w:jc w:val="both"/>
      </w:pPr>
      <w:r>
        <w:t>Reference to add: Rodgers, C. (1980). *Specific speed and efficiency of centrifugal</w:t>
      </w:r>
    </w:p>
    <w:p>
      <w:pPr>
        <w:jc w:val="both"/>
      </w:pPr>
      <w:r>
        <w:t>impellers.* 25th Annual International Gas Turbine Conference, New Orleans.</w:t>
      </w:r>
    </w:p>
    <w:p>
      <w:r>
        <w:br w:type="page"/>
      </w:r>
    </w:p>
    <w:p>
      <w:pPr>
        <w:pStyle w:val="Heading2"/>
      </w:pPr>
      <w:r>
        <w:t>4. Still needed from Ahti</w:t>
      </w:r>
    </w:p>
    <w:p>
      <w:pPr>
        <w:pStyle w:val="ListBullet"/>
      </w:pPr>
      <w:r>
        <w:rPr>
          <w:b/>
        </w:rPr>
        <w:t>The turbine convention.</w:t>
      </w:r>
      <w:r>
        <w:t xml:space="preserve"> Juha asked whether the volume flow in (1.1) is the inlet volume</w:t>
      </w:r>
    </w:p>
    <w:p>
      <w:pPr>
        <w:jc w:val="both"/>
      </w:pPr>
      <w:r>
        <w:t>for a turbine as well as for a compressor. It is not answered in draft 2, and it cannot be</w:t>
      </w:r>
    </w:p>
    <w:p>
      <w:pPr>
        <w:jc w:val="both"/>
      </w:pPr>
      <w:r>
        <w:t>guessed: a reader who assumes inlet for both will size a turbine wrong. One sentence settles</w:t>
      </w:r>
    </w:p>
    <w:p>
      <w:pPr>
        <w:jc w:val="both"/>
      </w:pPr>
      <w:r>
        <w:t>it, and §1.1.2 should carry it, because the book uses (1.1) for ORC turbines and</w:t>
      </w:r>
    </w:p>
    <w:p>
      <w:pPr>
        <w:jc w:val="both"/>
      </w:pPr>
      <w:r>
        <w:t>turbo-expanders as well as compressors.</w:t>
      </w:r>
    </w:p>
    <w:p>
      <w:pPr>
        <w:pStyle w:val="ListBullet"/>
      </w:pPr>
      <w:r>
        <w:rPr>
          <w:b/>
        </w:rPr>
        <w:t>Confirmation of the corrected table.</w:t>
      </w:r>
      <w:r>
        <w:t xml:space="preserve"> The 0 °C/15 °C inconsistency in his draft is</w:t>
      </w:r>
    </w:p>
    <w:p>
      <w:pPr>
        <w:jc w:val="both"/>
      </w:pPr>
      <w:r>
        <w:t>corrected above; he should check the numbers before they are set.</w:t>
      </w:r>
    </w:p>
    <w:p>
      <w:pPr>
        <w:pStyle w:val="ListBullet"/>
      </w:pPr>
      <w:r>
        <w:rPr>
          <w:b/>
        </w:rPr>
        <w:t>The figure, if one is wanted.</w:t>
      </w:r>
      <w:r>
        <w:t xml:space="preserve"> The specific-speed-against-efficiency chart belongs in</w:t>
      </w:r>
    </w:p>
    <w:p>
      <w:pPr>
        <w:jc w:val="both"/>
      </w:pPr>
      <w:r>
        <w:t>§2.2 with the application map, not in §1.1.2, and should be redrawn from Balje or Rodgers</w:t>
      </w:r>
    </w:p>
    <w:p>
      <w:pPr>
        <w:jc w:val="both"/>
      </w:pPr>
      <w:r>
        <w:t>rather than from the company blog post he linked, which is not citable.</w:t>
      </w:r>
    </w:p>
    <w:p>
      <w:pPr>
        <w:pStyle w:val="Heading2"/>
      </w:pPr>
      <w:r>
        <w:t>5. When to apply it</w:t>
      </w:r>
    </w:p>
    <w:p>
      <w:pPr>
        <w:jc w:val="both"/>
      </w:pPr>
      <w:r>
        <w:t>Chapter 1 is stamped and already with Wrobel, Saari and Jaatinen-Värri/Tiainen. Hold this and</w:t>
      </w:r>
    </w:p>
    <w:p>
      <w:pPr>
        <w:jc w:val="both"/>
      </w:pPr>
      <w:r>
        <w:t>issue one revised Chapter 1 before submission, together with the other pending items: the</w:t>
      </w:r>
    </w:p>
    <w:p>
      <w:pPr>
        <w:jc w:val="both"/>
      </w:pPr>
      <w:r>
        <w:t>missing §1.2 heading (the chapter runs §1.1.2 straight into §1.2.1 with no Heading 2 between),</w:t>
      </w:r>
    </w:p>
    <w:p>
      <w:pPr>
        <w:jc w:val="both"/>
      </w:pPr>
      <w:r>
        <w:t>the roadmap's pulse-ratio wording against "nine or eleven" in Juha's table of contents, and</w:t>
      </w:r>
    </w:p>
    <w:p>
      <w:pPr>
        <w:jc w:val="both"/>
      </w:pPr>
      <w:r>
        <w:t>"mechanical rpm value" in §1.1 against r/min everywhere else.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 speed in the Introduction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