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p>
      <w:pPr>
        <w:pStyle w:val="Heading2"/>
      </w:pPr>
      <w:r>
        <w:t>Assessed: the 2 MW solid-rotor machine of Chong Di's dissertation</w:t>
      </w:r>
    </w:p>
    <w:p>
      <w:pPr>
        <w:jc w:val="both"/>
      </w:pPr>
      <w:r>
        <w:rPr>
          <w:i/>
        </w:rPr>
        <w:t>Modeling and Analysis of a High-Speed Solid-Rotor Induction Machine</w:t>
      </w:r>
      <w:r>
        <w:t>, Chong Di, Acta</w:t>
      </w:r>
    </w:p>
    <w:p>
      <w:pPr>
        <w:jc w:val="both"/>
      </w:pPr>
      <w:r>
        <w:t>Universitatis Lappeenrantaensis 902, LUT, 2020. Supervised by Juha Pyrhönen and Ilya</w:t>
      </w:r>
    </w:p>
    <w:p>
      <w:pPr>
        <w:jc w:val="both"/>
      </w:pPr>
      <w:r>
        <w:t>Petrov. 153 pages, article-based.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2 000 kW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Synchronous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12 000 r/min, 200 Hz, one pole pair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voltage, 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660 V, 2 100 A rms, delta, two parallel branches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torque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1 600 Nm; power factor 0.7; estimated efficiency 96 %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solid S355, outer diameter 266 mm, 44 slits 4 mm wide and 50 mm deep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inner 280 mm, outer 700 mm, active length 538 mm, 36 slots, M270-35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 magnetic bearings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 liquid cooling, prefabricated coils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Tip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167 m/s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400 000 kW/s, 2.2 times the threshold of §1.1.1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l/D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1.92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b/>
        </w:rPr>
        <w:t>It fits the industrial paradigm almost exactly.</w:t>
      </w:r>
      <w:r>
        <w:t xml:space="preserve"> Two poles, as the plan already assumes.</w:t>
      </w:r>
    </w:p>
    <w:p>
      <w:pPr>
        <w:jc w:val="both"/>
      </w:pPr>
      <w:r>
        <w:t>A solid-rotor induction machine, which Chapter 3 calls the industrial workhorse and which</w:t>
      </w:r>
    </w:p>
    <w:p>
      <w:pPr>
        <w:jc w:val="both"/>
      </w:pPr>
      <w:r>
        <w:t>Ikäheimo is writing §3.2 and §3.3 about, so the running machine and the topology chapter</w:t>
      </w:r>
    </w:p>
    <w:p>
      <w:pPr>
        <w:jc w:val="both"/>
      </w:pPr>
      <w:r>
        <w:t>would reinforce each other. Two megawatts is industrial scale, not a demonstrator. At 200 Hz</w:t>
      </w:r>
    </w:p>
    <w:p>
      <w:pPr>
        <w:jc w:val="both"/>
      </w:pPr>
      <w:r>
        <w:t>it sits precisely in the region Figure 1.9 marks as the low-pole industrial topology</w:t>
      </w:r>
    </w:p>
    <w:p>
      <w:pPr>
        <w:jc w:val="both"/>
      </w:pPr>
      <w:r>
        <w:t>reachable with silicon converters, so it demonstrates the industrial branch of the</w:t>
      </w:r>
    </w:p>
    <w:p>
      <w:pPr>
        <w:jc w:val="both"/>
      </w:pPr>
      <w:r>
        <w:t>gatekeeper argument rather than contradicting it. And 167 m/s is above the hundred metres a</w:t>
      </w:r>
    </w:p>
    <w:p>
      <w:pPr>
        <w:jc w:val="both"/>
      </w:pPr>
      <w:r>
        <w:t>second at which the air gap stops being passive, so the windage material has something to</w:t>
      </w:r>
    </w:p>
    <w:p>
      <w:pPr>
        <w:jc w:val="both"/>
      </w:pPr>
      <w:r>
        <w:t>bite on.</w:t>
      </w:r>
    </w:p>
    <w:p>
      <w:pPr>
        <w:jc w:val="both"/>
      </w:pPr>
      <w:r>
        <w:rPr>
          <w:b/>
        </w:rPr>
        <w:t>It feeds the chapters unusually well.</w:t>
      </w:r>
      <w:r>
        <w:t xml:space="preserve"> Active magnetic bearings, including</w:t>
      </w:r>
    </w:p>
    <w:p>
      <w:pPr>
        <w:jc w:val="both"/>
      </w:pPr>
      <w:r>
        <w:t>unbalanced-magnetic-pull compensation, for §6.5. Direct liquid cooling for Chapter 10, which</w:t>
      </w:r>
    </w:p>
    <w:p>
      <w:pPr>
        <w:jc w:val="both"/>
      </w:pPr>
      <w:r>
        <w:t>is Wrobel's own specialism. Semimagnetic wedges as a slot-geometry decision for Chapter 7.</w:t>
      </w:r>
    </w:p>
    <w:p>
      <w:pPr>
        <w:jc w:val="both"/>
      </w:pPr>
      <w:r>
        <w:t>An asymmetric winding with prefabricated coils and current-unbalance suppression for</w:t>
      </w:r>
    </w:p>
    <w:p>
      <w:pPr>
        <w:jc w:val="both"/>
      </w:pPr>
      <w:r>
        <w:t>Chapter 8. Solid-rotor eddy-current harmonic loss modelling, the dissertation's central</w:t>
      </w:r>
    </w:p>
    <w:p>
      <w:pPr>
        <w:jc w:val="both"/>
      </w:pPr>
      <w:r>
        <w:t>contribution, for §9.5 to §9.7. It also contrasts with the Voltcar machine in the right way:</w:t>
      </w:r>
    </w:p>
    <w:p>
      <w:pPr>
        <w:jc w:val="both"/>
      </w:pPr>
      <w:r>
        <w:t>solid steel and slits against magnets and a sleeve, which makes the industrial-versus-mobile</w:t>
      </w:r>
    </w:p>
    <w:p>
      <w:pPr>
        <w:jc w:val="both"/>
      </w:pPr>
      <w:r>
        <w:t>comparison in every design chapter a real comparison rather than a rhetorical one.</w:t>
      </w:r>
    </w:p>
    <w:p>
      <w:pPr>
        <w:jc w:val="both"/>
      </w:pPr>
      <w:r>
        <w:rPr>
          <w:b/>
        </w:rPr>
        <w:t>Clearance is not an issue.</w:t>
      </w:r>
      <w:r>
        <w:t xml:space="preserve"> It is published, it is LUT, and two of the three authors</w:t>
      </w:r>
    </w:p>
    <w:p>
      <w:pPr>
        <w:jc w:val="both"/>
      </w:pPr>
      <w:r>
        <w:t>supervised it. Nobody has to be asked.</w:t>
      </w:r>
    </w:p>
    <w:p>
      <w:pPr>
        <w:jc w:val="both"/>
      </w:pPr>
      <w:r>
        <w:rPr>
          <w:b/>
        </w:rPr>
        <w:t>The one problem: no measured machine performance.</w:t>
      </w:r>
      <w:r>
        <w:t xml:space="preserve"> The measurements in the dissertation</w:t>
      </w:r>
    </w:p>
    <w:p>
      <w:pPr>
        <w:jc w:val="both"/>
      </w:pPr>
      <w:r>
        <w:t>are material-level, core-loss curves fitted to Bertotti at 100, 200 and 400 Hz. The</w:t>
      </w:r>
    </w:p>
    <w:p>
      <w:pPr>
        <w:jc w:val="both"/>
      </w:pPr>
      <w:r>
        <w:t>validation of the machine itself is by finite-element analysis. The text discusses rotor</w:t>
      </w:r>
    </w:p>
    <w:p>
      <w:pPr>
        <w:jc w:val="both"/>
      </w:pPr>
      <w:r>
        <w:t>construction options for "the first prototype", which reads as a design that had not yet</w:t>
      </w:r>
    </w:p>
    <w:p>
      <w:pPr>
        <w:jc w:val="both"/>
      </w:pPr>
      <w:r>
        <w:t>been built when the dissertation was written.</w:t>
      </w:r>
    </w:p>
    <w:p>
      <w:pPr>
        <w:jc w:val="both"/>
      </w:pPr>
      <w:r>
        <w:t>That matters because §12.1 promises the industrial machine carried *from specification to</w:t>
      </w:r>
    </w:p>
    <w:p>
      <w:pPr>
        <w:jc w:val="both"/>
      </w:pPr>
      <w:r>
        <w:t>measured performance*, and Chapter 12 is one of the two places where the book claims</w:t>
      </w:r>
    </w:p>
    <w:p>
      <w:pPr>
        <w:jc w:val="both"/>
      </w:pPr>
      <w:r>
        <w:t>measured case data.</w:t>
      </w:r>
    </w:p>
    <w:p>
      <w:pPr>
        <w:jc w:val="both"/>
      </w:pPr>
      <w:r>
        <w:rPr>
          <w:b/>
        </w:rPr>
        <w:t>The question for Juha and Ilya, which only they can answer:</w:t>
      </w:r>
      <w:r>
        <w:t xml:space="preserve"> was this machine built, and</w:t>
      </w:r>
    </w:p>
    <w:p>
      <w:pPr>
        <w:jc w:val="both"/>
      </w:pPr>
      <w:r>
        <w:t>are test results available, whether in later work, at a partner, or unpublished? If yes,</w:t>
      </w:r>
    </w:p>
    <w:p>
      <w:pPr>
        <w:jc w:val="both"/>
      </w:pPr>
      <w:r>
        <w:t>adopt it. If no, there are two options, and the first is better:</w:t>
      </w:r>
    </w:p>
    <w:p>
      <w:pPr>
        <w:jc w:val="both"/>
      </w:pPr>
      <w:r>
        <w:t>1. Use it as the industrial running machine through Chapters 2 to 11, where its design is</w:t>
      </w:r>
    </w:p>
    <w:p>
      <w:pPr>
        <w:jc w:val="both"/>
      </w:pPr>
      <w:r>
        <w:t>fully documented, and pair it in Chapter 12 with whatever measured industrial machine can</w:t>
      </w:r>
    </w:p>
    <w:p>
      <w:pPr>
        <w:jc w:val="both"/>
      </w:pPr>
      <w:r>
        <w:t>be obtained, from ABB through Ikäheimo. The chapter then has a designed machine and a</w:t>
      </w:r>
    </w:p>
    <w:p>
      <w:pPr>
        <w:jc w:val="both"/>
      </w:pPr>
      <w:r>
        <w:t>measured one, which is honest and still useful.</w:t>
      </w:r>
    </w:p>
    <w:p>
      <w:pPr>
        <w:jc w:val="both"/>
      </w:pPr>
      <w:r>
        <w:t>2. Adopt it throughout and change §12.1 to read "from specification to validated design",</w:t>
      </w:r>
    </w:p>
    <w:p>
      <w:pPr>
        <w:jc w:val="both"/>
      </w:pPr>
      <w:r>
        <w:t>keeping "to measured performance" for Voltcar alone. This costs the symmetry of the</w:t>
      </w:r>
    </w:p>
    <w:p>
      <w:pPr>
        <w:jc w:val="both"/>
      </w:pPr>
      <w:r>
        <w:t>two-machine claim and a reviewer may notice.</w:t>
      </w:r>
    </w:p>
    <w:p>
      <w:pPr>
        <w:jc w:val="both"/>
      </w:pPr>
      <w:r>
        <w:t>Even with the caveat, this is a considerably better candidate than the unattached compressor</w:t>
      </w:r>
    </w:p>
    <w:p>
      <w:pPr>
        <w:jc w:val="both"/>
      </w:pPr>
      <w:r>
        <w:t>drive currently in the plan. Recommend adopting it subject to that one question.</w:t>
      </w:r>
    </w:p>
    <w:p>
      <w:pPr>
        <w:pStyle w:val="Heading2"/>
      </w:pPr>
      <w:r>
        <w:t>Review of the fourteen-chapter ownership map</w:t>
      </w:r>
    </w:p>
    <w:p>
      <w:pPr>
        <w:jc w:val="both"/>
      </w:pPr>
      <w:r>
        <w:t>The map is a real improvement. Every chapter has one owner; Hinkkanen gets Chapter 12 and</w:t>
      </w:r>
    </w:p>
    <w:p>
      <w:pPr>
        <w:jc w:val="both"/>
      </w:pPr>
      <w:r>
        <w:t>the awkwardness of a peer professor writing inside Peltoniemi's chapter disappears; Rasilo</w:t>
      </w:r>
    </w:p>
    <w:p>
      <w:pPr>
        <w:jc w:val="both"/>
      </w:pPr>
      <w:r>
        <w:t>is an excellent name for core losses and adds Tampere to a list that was LUT, Aalto and</w:t>
      </w:r>
    </w:p>
    <w:p>
      <w:pPr>
        <w:jc w:val="both"/>
      </w:pPr>
      <w:r>
        <w:t>Newcastle; and the page budget still lands at 452 against the 450 target. Four things</w:t>
      </w:r>
    </w:p>
    <w:p>
      <w:pPr>
        <w:jc w:val="both"/>
      </w:pPr>
      <w:r>
        <w:t>should be settled before it goes out.</w:t>
      </w:r>
    </w:p>
    <w:p>
      <w:pPr>
        <w:pStyle w:val="Heading3"/>
      </w:pPr>
      <w:r>
        <w:t>1. The authors would write 23 per cent of their own book</w:t>
      </w:r>
    </w:p>
    <w:p>
      <w:pPr>
        <w:jc w:val="both"/>
      </w:pPr>
      <w:r>
        <w:t>Chapters 1, 3 and 7, ninety-six pages of four hundred and twelve. Wiley is being asked for</w:t>
      </w:r>
    </w:p>
    <w:p>
      <w:pPr>
        <w:jc w:val="both"/>
      </w:pPr>
      <w:r>
        <w:t>an authored book with three names on the cover; a reviewer who counts will see a contributed</w:t>
      </w:r>
    </w:p>
    <w:p>
      <w:pPr>
        <w:jc w:val="both"/>
      </w:pPr>
      <w:r>
        <w:t>volume with three editors. The earlier map had the authors on six chapters of thirteen.</w:t>
      </w:r>
    </w:p>
    <w:p>
      <w:pPr>
        <w:jc w:val="both"/>
      </w:pPr>
      <w:r>
        <w:t>What moved out matters more than the count. Chapters 13 and 14 are where the book's own</w:t>
      </w:r>
    </w:p>
    <w:p>
      <w:pPr>
        <w:jc w:val="both"/>
      </w:pPr>
      <w:r>
        <w:t>procedure is shown working on the two running machines. If both go to outsiders, the authors</w:t>
      </w:r>
    </w:p>
    <w:p>
      <w:pPr>
        <w:jc w:val="both"/>
      </w:pPr>
      <w:r>
        <w:t>never demonstrate the method they spent seven chapters arguing for.</w:t>
      </w:r>
    </w:p>
    <w:p>
      <w:pPr>
        <w:jc w:val="both"/>
      </w:pPr>
      <w:r>
        <w:t>The industrial running machine is now LUT's own 2 MW solid-rotor machine, supervised by two</w:t>
      </w:r>
    </w:p>
    <w:p>
      <w:pPr>
        <w:jc w:val="both"/>
      </w:pPr>
      <w:r>
        <w:t>of the three authors, and the test data is unpublished and in their hands. Chapter 13 should</w:t>
      </w:r>
    </w:p>
    <w:p>
      <w:pPr>
        <w:jc w:val="both"/>
      </w:pPr>
      <w:r>
        <w:t>therefore be the authors', with Tiainen and Jaatinen-Värri as co-authors for the compressor</w:t>
      </w:r>
    </w:p>
    <w:p>
      <w:pPr>
        <w:jc w:val="both"/>
      </w:pPr>
      <w:r>
        <w:t>and ORC side. That restores the authored-book balance to four chapters and about a third of</w:t>
      </w:r>
    </w:p>
    <w:p>
      <w:pPr>
        <w:jc w:val="both"/>
      </w:pPr>
      <w:r>
        <w:t>the text, and it puts the machine's own people in charge of reporting it.</w:t>
      </w:r>
    </w:p>
    <w:p>
      <w:pPr>
        <w:jc w:val="both"/>
      </w:pPr>
      <w:r>
        <w:t>Chapter 14 can stay with Pippuri-Mäkeläinen, because Voltcar is VTT's and the data is</w:t>
      </w:r>
    </w:p>
    <w:p>
      <w:pPr>
        <w:jc w:val="both"/>
      </w:pPr>
      <w:r>
        <w:t>theirs.</w:t>
      </w:r>
    </w:p>
    <w:p>
      <w:pPr>
        <w:pStyle w:val="Heading3"/>
      </w:pPr>
      <w:r>
        <w:t>2. Chapter 14 has lost the aerospace generator and the e-turbocharger</w:t>
      </w:r>
    </w:p>
    <w:p>
      <w:pPr>
        <w:jc w:val="both"/>
      </w:pPr>
      <w:r>
        <w:t xml:space="preserve">The title now reads </w:t>
      </w:r>
      <w:r>
        <w:rPr>
          <w:i/>
        </w:rPr>
        <w:t>Mobile case studies: traction</w:t>
      </w:r>
      <w:r>
        <w:t>. One machine in thirty pages, and the</w:t>
      </w:r>
    </w:p>
    <w:p>
      <w:pPr>
        <w:jc w:val="both"/>
      </w:pPr>
      <w:r>
        <w:t>mobile paradigm is represented by a single 120 kW traction motor.</w:t>
      </w:r>
    </w:p>
    <w:p>
      <w:pPr>
        <w:jc w:val="both"/>
      </w:pPr>
      <w:r>
        <w:t>That costs three things. The e-turbocharger above 100 000 r/min is what makes the book's</w:t>
      </w:r>
    </w:p>
    <w:p>
      <w:pPr>
        <w:jc w:val="both"/>
      </w:pPr>
      <w:r>
        <w:t>claimed speed range credible; without it the highest speed in the book is 30 000 r/min.</w:t>
      </w:r>
    </w:p>
    <w:p>
      <w:pPr>
        <w:jc w:val="both"/>
      </w:pPr>
      <w:r>
        <w:t>Aerospace is the current market the editor asked about. And the closing section, where the</w:t>
      </w:r>
    </w:p>
    <w:p>
      <w:pPr>
        <w:jc w:val="both"/>
      </w:pPr>
      <w:r>
        <w:t>two paradigms are revisited with the completed designs in hand, needs range on the mobile</w:t>
      </w:r>
    </w:p>
    <w:p>
      <w:pPr>
        <w:jc w:val="both"/>
      </w:pPr>
      <w:r>
        <w:t>side or it compares one machine with one machine.</w:t>
      </w:r>
    </w:p>
    <w:p>
      <w:pPr>
        <w:jc w:val="both"/>
      </w:pPr>
      <w:r>
        <w:t>Keep the title and the three sections, and let Pippuri-Mäkeläinen recruit for the two she</w:t>
      </w:r>
    </w:p>
    <w:p>
      <w:pPr>
        <w:jc w:val="both"/>
      </w:pPr>
      <w:r>
        <w:t>cannot cover, exactly as Saari is being asked to do for the mobile applications in</w:t>
      </w:r>
    </w:p>
    <w:p>
      <w:pPr>
        <w:jc w:val="both"/>
      </w:pPr>
      <w:r>
        <w:t>Chapter 2.</w:t>
      </w:r>
    </w:p>
    <w:p>
      <w:pPr>
        <w:pStyle w:val="Heading3"/>
      </w:pPr>
      <w:r>
        <w:t>3. Chapter 13 has two owners</w:t>
      </w:r>
    </w:p>
    <w:p>
      <w:pPr>
        <w:jc w:val="both"/>
      </w:pPr>
      <w:r>
        <w:t>Tiainen and Jaatinen-Värri both. That is the arrangement the rule exists to prevent, unless</w:t>
      </w:r>
    </w:p>
    <w:p>
      <w:pPr>
        <w:jc w:val="both"/>
      </w:pPr>
      <w:r>
        <w:t>they are treated as one unit with one of them named as the contact, in the way Sopanen's</w:t>
      </w:r>
    </w:p>
    <w:p>
      <w:pPr>
        <w:jc w:val="both"/>
      </w:pPr>
      <w:r>
        <w:t>group is.</w:t>
      </w:r>
    </w:p>
    <w:p>
      <w:pPr>
        <w:jc w:val="both"/>
      </w:pPr>
      <w:r>
        <w:t>There is a second mismatch underneath it. They are turbomachinery people and the chapter's</w:t>
      </w:r>
    </w:p>
    <w:p>
      <w:pPr>
        <w:jc w:val="both"/>
      </w:pPr>
      <w:r>
        <w:t>first section is the measured performance of an electrical machine. They are the right</w:t>
      </w:r>
    </w:p>
    <w:p>
      <w:pPr>
        <w:jc w:val="both"/>
      </w:pPr>
      <w:r>
        <w:t>authors for the driven machine and the wrong ones for the motor. Section 1 above resolves</w:t>
      </w:r>
    </w:p>
    <w:p>
      <w:pPr>
        <w:jc w:val="both"/>
      </w:pPr>
      <w:r>
        <w:t>both: the authors own it, and the turbomachinery pair write the compressor and ORC side as</w:t>
      </w:r>
    </w:p>
    <w:p>
      <w:pPr>
        <w:jc w:val="both"/>
      </w:pPr>
      <w:r>
        <w:t>co-authors.</w:t>
      </w:r>
    </w:p>
    <w:p>
      <w:pPr>
        <w:pStyle w:val="Heading3"/>
      </w:pPr>
      <w:r>
        <w:t>4. Nobody owns the aerodynamic losses of Chapter 9</w:t>
      </w:r>
    </w:p>
    <w:p>
      <w:pPr>
        <w:jc w:val="both"/>
      </w:pPr>
      <w:r>
        <w:t xml:space="preserve">The chapter is </w:t>
      </w:r>
      <w:r>
        <w:rPr>
          <w:i/>
        </w:rPr>
        <w:t>Core, rotor and aerodynamic losses</w:t>
      </w:r>
      <w:r>
        <w:t xml:space="preserve"> and Rasilo is a core-loss and</w:t>
      </w:r>
    </w:p>
    <w:p>
      <w:pPr>
        <w:jc w:val="both"/>
      </w:pPr>
      <w:r>
        <w:t>magnetic-materials specialist. Windage and Taylor–Couette flow are not his field, and it</w:t>
      </w:r>
    </w:p>
    <w:p>
      <w:pPr>
        <w:jc w:val="both"/>
      </w:pPr>
      <w:r>
        <w:t>would be unfair to hand them to him inside a chapter he owns.</w:t>
      </w:r>
    </w:p>
    <w:p>
      <w:pPr>
        <w:jc w:val="both"/>
      </w:pPr>
      <w:r>
        <w:t>Two ways out. Either he recruits Saari for §9.8, which is what the model is for and what</w:t>
      </w:r>
    </w:p>
    <w:p>
      <w:pPr>
        <w:jc w:val="both"/>
      </w:pPr>
      <w:r>
        <w:t>Saari has said he would like. Or the aerodynamic material moves into Chapter 10, where the</w:t>
      </w:r>
    </w:p>
    <w:p>
      <w:pPr>
        <w:jc w:val="both"/>
      </w:pPr>
      <w:r>
        <w:t>air-gap flow is already treated as one problem producing both windage and convection, and</w:t>
      </w:r>
    </w:p>
    <w:p>
      <w:pPr>
        <w:jc w:val="both"/>
      </w:pPr>
      <w:r>
        <w:t xml:space="preserve">Chapter 9 becomes </w:t>
      </w:r>
      <w:r>
        <w:rPr>
          <w:i/>
        </w:rPr>
        <w:t>Core and rotor losses at high speed</w:t>
      </w:r>
      <w:r>
        <w:t>. The second is cleaner physically</w:t>
      </w:r>
    </w:p>
    <w:p>
      <w:pPr>
        <w:jc w:val="both"/>
      </w:pPr>
      <w:r>
        <w:t>and the proposal already argues for it; the first is easier and keeps Saari's name in the</w:t>
      </w:r>
    </w:p>
    <w:p>
      <w:pPr>
        <w:jc w:val="both"/>
      </w:pPr>
      <w:r>
        <w:t>book if he declines Chapter 2.</w:t>
      </w:r>
    </w:p>
    <w:p>
      <w:pPr>
        <w:pStyle w:val="Heading3"/>
      </w:pPr>
      <w:r>
        <w:t>Smaller points</w:t>
      </w:r>
    </w:p>
    <w:p>
      <w:pPr>
        <w:pStyle w:val="ListBullet"/>
      </w:pPr>
      <w:r>
        <w:rPr>
          <w:b/>
        </w:rPr>
        <w:t>Chapter 3</w:t>
      </w:r>
      <w:r>
        <w:t xml:space="preserve"> is marked "authors, plus perhaps someone for each machine type". Four or</w:t>
      </w:r>
    </w:p>
    <w:p>
      <w:pPr>
        <w:jc w:val="both"/>
      </w:pPr>
      <w:r>
        <w:t>five outside hands in one chapter is how the earlier problem started. Ikäheimo on the</w:t>
      </w:r>
    </w:p>
    <w:p>
      <w:pPr>
        <w:jc w:val="both"/>
      </w:pPr>
      <w:r>
        <w:t>induction machines is enough; anyone further should be his recruit, not a separate one.</w:t>
      </w:r>
    </w:p>
    <w:p>
      <w:pPr>
        <w:pStyle w:val="ListBullet"/>
      </w:pPr>
      <w:r>
        <w:rPr>
          <w:b/>
        </w:rPr>
        <w:t>Belahcen</w:t>
      </w:r>
      <w:r>
        <w:t xml:space="preserve"> was told he could lead one or two chapters on winding losses and on core and</w:t>
      </w:r>
    </w:p>
    <w:p>
      <w:pPr>
        <w:jc w:val="both"/>
      </w:pPr>
      <w:r>
        <w:t>rotor losses. He now has one. That is within what the email said, but he should hear it</w:t>
      </w:r>
    </w:p>
    <w:p>
      <w:pPr>
        <w:jc w:val="both"/>
      </w:pPr>
      <w:r>
        <w:t>from us rather than discover it in the table of contents, and Rasilo's name should be</w:t>
      </w:r>
    </w:p>
    <w:p>
      <w:pPr>
        <w:jc w:val="both"/>
      </w:pPr>
      <w:r>
        <w:t>mentioned to him before it is fixed.</w:t>
      </w:r>
    </w:p>
    <w:p>
      <w:pPr>
        <w:pStyle w:val="ListBullet"/>
      </w:pPr>
      <w:r>
        <w:rPr>
          <w:b/>
        </w:rPr>
        <w:t>Splitting the drive chapter</w:t>
      </w:r>
      <w:r>
        <w:t xml:space="preserve"> reintroduces the converter-and-control boundary the book</w:t>
      </w:r>
    </w:p>
    <w:p>
      <w:pPr>
        <w:jc w:val="both"/>
      </w:pPr>
      <w:r>
        <w:t>criticises elsewhere. Worth accepting for a named control owner, but Chapter 12 should</w:t>
      </w:r>
    </w:p>
    <w:p>
      <w:pPr>
        <w:jc w:val="both"/>
      </w:pPr>
      <w:r>
        <w:t>open by saying it continues Chapter 11, and the section matching each machine to its</w:t>
      </w:r>
    </w:p>
    <w:p>
      <w:pPr>
        <w:jc w:val="both"/>
      </w:pPr>
      <w:r>
        <w:t>converter should sit in one chapter, not be divided between them.</w:t>
      </w:r>
    </w:p>
    <w:p>
      <w:pPr>
        <w:pStyle w:val="Heading2"/>
      </w:pPr>
      <w:r>
        <w:t>Chapter 9 after Paavo Rasilo's decline (20 September 2026)</w:t>
      </w:r>
    </w:p>
    <w:p>
      <w:pPr>
        <w:jc w:val="both"/>
      </w:pPr>
      <w:r>
        <w:t>He declined on time — the CoE and an ERC project — and added that he sees himself as a</w:t>
      </w:r>
    </w:p>
    <w:p>
      <w:pPr>
        <w:jc w:val="both"/>
      </w:pPr>
      <w:r>
        <w:t>generalist and a modeller rather than a designer, doubting he had enough to say about</w:t>
      </w:r>
    </w:p>
    <w:p>
      <w:pPr>
        <w:jc w:val="both"/>
      </w:pPr>
      <w:r>
        <w:t>machine design or the manufacturing effects on losses. He suggested Anouar Belahcen and</w:t>
      </w:r>
    </w:p>
    <w:p>
      <w:pPr>
        <w:jc w:val="both"/>
      </w:pPr>
      <w:r>
        <w:t>Floran (presumably Floran Martin, Aalto).</w:t>
      </w:r>
    </w:p>
    <w:p>
      <w:pPr>
        <w:jc w:val="both"/>
      </w:pPr>
      <w:r>
        <w:t>**Recommendation: offer Chapter 9 to Anouar Belahcen as well as Chapter 8, and let him</w:t>
      </w:r>
    </w:p>
    <w:p>
      <w:pPr>
        <w:jc w:val="both"/>
      </w:pPr>
      <w:r>
        <w:t>bring Floran Martin as co-author.** Three reasons.</w:t>
      </w:r>
    </w:p>
    <w:p>
      <w:pPr>
        <w:jc w:val="both"/>
      </w:pPr>
      <w:r>
        <w:t>1. It repairs a defect that already exists. Belahcen's support letter argues that</w:t>
      </w:r>
    </w:p>
    <w:p>
      <w:pPr>
        <w:jc w:val="both"/>
      </w:pPr>
      <w:r>
        <w:t>mains-frequency loss models do not extrapolate, that loss separation loses meaning as</w:t>
      </w:r>
    </w:p>
    <w:p>
      <w:pPr>
        <w:jc w:val="both"/>
      </w:pPr>
      <w:r>
        <w:t>frequency rises, and that the degradation from cutting, punching and stacking is itself</w:t>
      </w:r>
    </w:p>
    <w:p>
      <w:pPr>
        <w:jc w:val="both"/>
      </w:pPr>
      <w:r>
        <w:t>frequency dependent. That is Chapter 9's premise, not Chapter 8's — his letter was</w:t>
      </w:r>
    </w:p>
    <w:p>
      <w:pPr>
        <w:jc w:val="both"/>
      </w:pPr>
      <w:r>
        <w:t>written before Chapter 9 was given away. Give him Chapter 9 and the letter becomes</w:t>
      </w:r>
    </w:p>
    <w:p>
      <w:pPr>
        <w:jc w:val="both"/>
      </w:pPr>
      <w:r>
        <w:t>correct as it stands; leave things as they are and it has to be rewritten around skin</w:t>
      </w:r>
    </w:p>
    <w:p>
      <w:pPr>
        <w:jc w:val="both"/>
      </w:pPr>
      <w:r>
        <w:t>effect, transposition, litz and hairpin conductors.</w:t>
      </w:r>
    </w:p>
    <w:p>
      <w:pPr>
        <w:jc w:val="both"/>
      </w:pPr>
      <w:r>
        <w:t>2. Chapters 8 and 9 are the two loss chapters and each cites the other's budget. One owner</w:t>
      </w:r>
    </w:p>
    <w:p>
      <w:pPr>
        <w:jc w:val="both"/>
      </w:pPr>
      <w:r>
        <w:t>removes a seam that would otherwise need reconciling by us.</w:t>
      </w:r>
    </w:p>
    <w:p>
      <w:pPr>
        <w:jc w:val="both"/>
      </w:pPr>
      <w:r>
        <w:t>3. Floran Martin works on magnetic materials and loss modelling in that orbit, so the</w:t>
      </w:r>
    </w:p>
    <w:p>
      <w:pPr>
        <w:jc w:val="both"/>
      </w:pPr>
      <w:r>
        <w:t>co-author Paavo named arrives through Anouar rather than through a cold approach from us.</w:t>
      </w:r>
    </w:p>
    <w:p>
      <w:pPr>
        <w:jc w:val="both"/>
      </w:pPr>
      <w:r>
        <w:t>The cost is 58 pages under one owner. Sopanen already carries 96, so there is precedent.</w:t>
      </w:r>
    </w:p>
    <w:p>
      <w:pPr>
        <w:jc w:val="both"/>
      </w:pPr>
      <w:r>
        <w:t>The alternative is to approach Floran Martin directly as owner, with Paavo's name as the</w:t>
      </w:r>
    </w:p>
    <w:p>
      <w:pPr>
        <w:jc w:val="both"/>
      </w:pPr>
      <w:r>
        <w:t>introduction. That spreads the load and puts a new name on the proposal, which reviewers</w:t>
      </w:r>
    </w:p>
    <w:p>
      <w:pPr>
        <w:jc w:val="both"/>
      </w:pPr>
      <w:r>
        <w:t>like, but it leaves Belahcen's letter needing a rewrite and adds a cold contact at a late</w:t>
      </w:r>
    </w:p>
    <w:p>
      <w:pPr>
        <w:jc w:val="both"/>
      </w:pPr>
      <w:r>
        <w:t>stage.</w:t>
      </w:r>
    </w:p>
    <w:p>
      <w:pPr>
        <w:jc w:val="both"/>
      </w:pPr>
      <w:r>
        <w:rPr>
          <w:b/>
        </w:rPr>
        <w:t>Until this is settled, no table of contents may be sent to anyone</w:t>
      </w:r>
      <w:r>
        <w:t>: both</w:t>
      </w:r>
    </w:p>
    <w:p>
      <w:pPr>
        <w:jc w:val="both"/>
      </w:pPr>
      <w:r>
        <w:t>`to_send/Annotated_Table_of_Contents.docx` and Juha's revision name Paavo Rasilo in the</w:t>
      </w:r>
    </w:p>
    <w:p>
      <w:pPr>
        <w:jc w:val="both"/>
      </w:pPr>
      <w:r>
        <w:t>ownership table and again in the Chapter 9 budget line.</w:t>
      </w:r>
    </w:p>
    <w:p>
      <w:pPr>
        <w:pStyle w:val="Heading2"/>
      </w:pPr>
      <w:r>
        <w:t>Chapter 2 confirmed (22 September 2026)</w:t>
      </w:r>
    </w:p>
    <w:p>
      <w:pPr>
        <w:jc w:val="both"/>
      </w:pPr>
      <w:r>
        <w:t>Juha Saari accepted Chapter 2 and returned the first signed letter of the set. Two things</w:t>
      </w:r>
    </w:p>
    <w:p>
      <w:pPr>
        <w:jc w:val="both"/>
      </w:pPr>
      <w:r>
        <w:t>follow for the proposal.</w:t>
      </w:r>
    </w:p>
    <w:p>
      <w:pPr>
        <w:jc w:val="both"/>
      </w:pPr>
      <w:r>
        <w:t xml:space="preserve">His title is </w:t>
      </w:r>
      <w:r>
        <w:rPr>
          <w:b/>
        </w:rPr>
        <w:t>Co-Founder, Upheat Solutions</w:t>
      </w:r>
      <w:r>
        <w:t>, not an employee of Upheat — better than we</w:t>
      </w:r>
    </w:p>
    <w:p>
      <w:pPr>
        <w:jc w:val="both"/>
      </w:pPr>
      <w:r>
        <w:t>assumed, and worth stating that way in the contributor list once he confirms. The annotated</w:t>
      </w:r>
    </w:p>
    <w:p>
      <w:pPr>
        <w:jc w:val="both"/>
      </w:pPr>
      <w:r>
        <w:t>table of contents says "Owner: J. Saari of Upheat"; make it Upheat Solutions.</w:t>
      </w:r>
    </w:p>
    <w:p>
      <w:pPr>
        <w:jc w:val="both"/>
      </w:pPr>
      <w:r>
        <w:t>He will choose co-authors after the section structure exists, not before, so Chapter 2 goes</w:t>
      </w:r>
    </w:p>
    <w:p>
      <w:pPr>
        <w:jc w:val="both"/>
      </w:pPr>
      <w:r>
        <w:t>into the proposal with one named owner and co-authors to be named. That is the honest</w:t>
      </w:r>
    </w:p>
    <w:p>
      <w:pPr>
        <w:jc w:val="both"/>
      </w:pPr>
      <w:r>
        <w:t>position and does not weaken it.</w:t>
      </w:r>
    </w:p>
    <w:p>
      <w:pPr>
        <w:pStyle w:val="Heading2"/>
      </w:pPr>
      <w:r>
        <w:t>Specific speed belongs to the Introduction (6 October 2026)</w:t>
      </w:r>
    </w:p>
    <w:p>
      <w:pPr>
        <w:jc w:val="both"/>
      </w:pPr>
      <w:r>
        <w:t>Ahti Jaatinen-Värri's specific-speed text goes into Chapter 1 in full, as a new §1.1.2. It is</w:t>
      </w:r>
    </w:p>
    <w:p>
      <w:pPr>
        <w:jc w:val="both"/>
      </w:pPr>
      <w:r>
        <w:t>the book's only treatment of the subject.</w:t>
      </w:r>
    </w:p>
    <w:p>
      <w:pPr>
        <w:jc w:val="both"/>
      </w:pPr>
      <w:r>
        <w:rPr>
          <w:b/>
        </w:rPr>
        <w:t>Chapter 2 stays Juha Saari's entire</w:t>
      </w:r>
      <w:r>
        <w:t>, as agreed with him. Its §2.2 was "Why the driven</w:t>
      </w:r>
    </w:p>
    <w:p>
      <w:pPr>
        <w:jc w:val="both"/>
      </w:pPr>
      <w:r>
        <w:t>machine sets the speed: specific speed and the turbomachinery optimum" and would have</w:t>
      </w:r>
    </w:p>
    <w:p>
      <w:pPr>
        <w:jc w:val="both"/>
      </w:pPr>
      <w:r>
        <w:t>duplicated the derivation; it is retitled "From duty to speed: where the industrial</w:t>
      </w:r>
    </w:p>
    <w:p>
      <w:pPr>
        <w:jc w:val="both"/>
      </w:pPr>
      <w:r>
        <w:t>applications fall in the specific-speed bands", takes (1.1) as given from §1.1.2, and asks</w:t>
      </w:r>
    </w:p>
    <w:p>
      <w:pPr>
        <w:jc w:val="both"/>
      </w:pPr>
      <w:r>
        <w:t>instead where each industrial duty falls against it. The owner note no longer asks Saari to</w:t>
      </w:r>
    </w:p>
    <w:p>
      <w:pPr>
        <w:jc w:val="both"/>
      </w:pPr>
      <w:r>
        <w:t>recruit a co-author for that section — he does not need one now.</w:t>
      </w:r>
    </w:p>
    <w:p>
      <w:pPr>
        <w:jc w:val="both"/>
      </w:pPr>
      <w:r>
        <w:t>That is the better division in any case. Deriving Ns is not what Saari brings to the book;</w:t>
      </w:r>
    </w:p>
    <w:p>
      <w:pPr>
        <w:jc w:val="both"/>
      </w:pPr>
      <w:r>
        <w:t>knowing which duty lands where, and what it costs in machine terms, is.</w:t>
      </w:r>
    </w:p>
    <w:p>
      <w:pPr>
        <w:jc w:val="both"/>
      </w:pPr>
      <w:r>
        <w:rPr>
          <w:b/>
        </w:rPr>
        <w:t>Ahti's own section is Chapter 13</w:t>
      </w:r>
      <w:r>
        <w:t>, held jointly with Jonna Tiainen. The §1.1.2</w:t>
      </w:r>
    </w:p>
    <w:p>
      <w:pPr>
        <w:jc w:val="both"/>
      </w:pPr>
      <w:r>
        <w:t>contribution is separate from it and additional to it, and he is named at the head of</w:t>
      </w:r>
    </w:p>
    <w:p>
      <w:pPr>
        <w:jc w:val="both"/>
      </w:pPr>
      <w:r>
        <w:t>Chapter 1 for it. The owners table carries both rows.</w:t>
      </w:r>
    </w:p>
    <w:p>
      <w:pPr>
        <w:jc w:val="both"/>
      </w:pPr>
      <w:r>
        <w:t>Chapter 1 goes from 26 to 28 pages and from 4 to 5 tables; the book total from 452 to 454.</w:t>
      </w:r>
    </w:p>
    <w:p>
      <w:pPr>
        <w:jc w:val="both"/>
      </w:pPr>
      <w:r>
        <w:t>Two things to carry forward. Saari holds a table of contents with the old §2.2 title, so the</w:t>
      </w:r>
    </w:p>
    <w:p>
      <w:pPr>
        <w:jc w:val="both"/>
      </w:pPr>
      <w:r>
        <w:t>detailed section structure he is waiting for must carry the new wording and the covering note</w:t>
      </w:r>
    </w:p>
    <w:p>
      <w:pPr>
        <w:jc w:val="both"/>
      </w:pPr>
      <w:r>
        <w:t>should say so — nothing starts before a contract, so nothing is at risk, but he should see</w:t>
      </w:r>
    </w:p>
    <w:p>
      <w:pPr>
        <w:jc w:val="both"/>
      </w:pPr>
      <w:r>
        <w:t>the change rather than find it. And the turbine convention for the volume flow in (1.1) is</w:t>
      </w:r>
    </w:p>
    <w:p>
      <w:pPr>
        <w:jc w:val="both"/>
      </w:pPr>
      <w:r>
        <w:t>still unanswered by Ahti; §1.1.2 needs it, because the book applies (1.1) to ORC turbines and</w:t>
      </w:r>
    </w:p>
    <w:p>
      <w:pPr>
        <w:jc w:val="both"/>
      </w:pPr>
      <w:r>
        <w:t>turbo-expanders as well as to compressors.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ownership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