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and 11,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Lead</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authors; 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Sopanen's group; I. Petrov</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Sopanen's group</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Sopanen's group; bearing specialist</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I. Petrov; 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A. Belahcen; I. Petrov; J. Saari</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J. Nerg; A. Belahcen; J. Saari</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converter interface and control at high fundamental frequency</w:t>
            </w:r>
          </w:p>
        </w:tc>
        <w:tc>
          <w:tcPr>
            <w:tcW w:type="dxa" w:w="1234"/>
          </w:tcPr>
          <w:p>
            <w:r>
              <w:rPr>
                <w:sz w:val="19"/>
              </w:rPr>
            </w:r>
            <w:r>
              <w:rPr>
                <w:sz w:val="19"/>
              </w:rPr>
              <w:t>40</w:t>
            </w:r>
          </w:p>
        </w:tc>
        <w:tc>
          <w:tcPr>
            <w:tcW w:type="dxa" w:w="1234"/>
          </w:tcPr>
          <w:p>
            <w:r>
              <w:rPr>
                <w:sz w:val="19"/>
              </w:rPr>
            </w:r>
            <w:r>
              <w:rPr>
                <w:sz w:val="19"/>
              </w:rPr>
              <w:t>16 200</w:t>
            </w:r>
          </w:p>
        </w:tc>
        <w:tc>
          <w:tcPr>
            <w:tcW w:type="dxa" w:w="1234"/>
          </w:tcPr>
          <w:p>
            <w:r>
              <w:rPr>
                <w:sz w:val="19"/>
              </w:rPr>
            </w:r>
            <w:r>
              <w:rPr>
                <w:sz w:val="19"/>
              </w:rPr>
              <w:t>26</w:t>
            </w:r>
          </w:p>
        </w:tc>
        <w:tc>
          <w:tcPr>
            <w:tcW w:type="dxa" w:w="1234"/>
          </w:tcPr>
          <w:p>
            <w:r>
              <w:rPr>
                <w:sz w:val="19"/>
              </w:rPr>
            </w:r>
            <w:r>
              <w:rPr>
                <w:sz w:val="19"/>
              </w:rPr>
              <w:t>P. Peltoniemi; L. Aarniovuori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authors; J. Saari; L. Aarniovuori</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Mobile case studies: traction, aerospace and e-turbo</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authors; aerospace contributor</w:t>
            </w:r>
          </w:p>
        </w:tc>
      </w:tr>
      <w:tr>
        <w:tc>
          <w:tcPr>
            <w:tcW w:type="dxa" w:w="1234"/>
          </w:tcPr>
          <w:p>
            <w:r>
              <w:rPr>
                <w:sz w:val="19"/>
              </w:rPr>
            </w:r>
          </w:p>
        </w:tc>
        <w:tc>
          <w:tcPr>
            <w:tcW w:type="dxa" w:w="1234"/>
          </w:tcPr>
          <w:p>
            <w:r>
              <w:rPr>
                <w:sz w:val="19"/>
              </w:rPr>
            </w:r>
          </w:p>
        </w:tc>
        <w:tc>
          <w:tcPr>
            <w:tcW w:type="dxa" w:w="1234"/>
          </w:tcPr>
          <w:p>
            <w:r>
              <w:rPr>
                <w:sz w:val="19"/>
              </w:rPr>
            </w:r>
            <w:r>
              <w:rPr>
                <w:b/>
                <w:sz w:val="19"/>
              </w:rPr>
              <w:t>Chapters 1–13</w:t>
            </w:r>
          </w:p>
        </w:tc>
        <w:tc>
          <w:tcPr>
            <w:tcW w:type="dxa" w:w="1234"/>
          </w:tcPr>
          <w:p>
            <w:r>
              <w:rPr>
                <w:sz w:val="19"/>
              </w:rPr>
            </w:r>
            <w:r>
              <w:rPr>
                <w:b/>
                <w:sz w:val="19"/>
              </w:rPr>
              <w:t>410</w:t>
            </w:r>
          </w:p>
        </w:tc>
        <w:tc>
          <w:tcPr>
            <w:tcW w:type="dxa" w:w="1234"/>
          </w:tcPr>
          <w:p>
            <w:r>
              <w:rPr>
                <w:sz w:val="19"/>
              </w:rPr>
            </w:r>
            <w:r>
              <w:rPr>
                <w:b/>
                <w:sz w:val="19"/>
              </w:rPr>
              <w:t>161 400</w:t>
            </w:r>
          </w:p>
        </w:tc>
        <w:tc>
          <w:tcPr>
            <w:tcW w:type="dxa" w:w="1234"/>
          </w:tcPr>
          <w:p>
            <w:r>
              <w:rPr>
                <w:sz w:val="19"/>
              </w:rPr>
            </w:r>
            <w:r>
              <w:rPr>
                <w:b/>
                <w:sz w:val="19"/>
              </w:rPr>
              <w:t>263</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450</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and are assembled into complete, measured designs in Chapters 12 and 13. Every design chapter therefore ends with the same two worked examples, and the reader can follow one machine through the whole procedure.</w:t>
      </w:r>
    </w:p>
    <w:p>
      <w:pPr>
        <w:jc w:val="both"/>
      </w:pPr>
      <w:r>
        <w:rPr>
          <w:b/>
        </w:rPr>
        <w:t>A closing comparison in every design chapter.</w:t>
      </w:r>
      <w:r>
        <w:t xml:space="preserve"> Chapters 3 to 11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a centrifugal compressor or a turbo-expander has an aerodynamic optimum fixed by its specific speed, and that optimum, not any electrical consideration, is what asks for 30 000 r/min.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including heat-pump and hydrogen and cryogenic compression and flywheel storage.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Why the driven machine sets the speed: specific speed and the turbomachinery optimum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states the speed requirement from the driven machine's side rather than the motor's. Contributors: J. Saari (industrial machines); A. Jaatinen-Värri and J. Tiainen (§2.2, specific speed and the aerodynamic optimum).</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Contributors: A. Belahcen (loss modelling, materials, manufacturing effects), I. Petrov (rotor losses), J. Saari (windage correlations for high-speed machines), with A. Jaatinen-Värri and J. Tiainen on the flow regimes, roughness and end effects of §9.8.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Chapter owner: one of the authors, who writes §10.1 and §10.10. Contributors: R. Wrobel (§10.2 to §10.4, the heat paths and the stator and rotor cooling architectures), J. Nerg (§10.6, §10.7 and §10.9, thermal networks, transient behaviour and measurement), A. Belahcen (§10.8, magnet temperature and demagnetisation margin), A. Jaatinen-Värri and J. Tiainen (§10.5 air-gap convection, from the same flow model as the windage of §9.8), J. Saari (the machine-side windage link).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converter interface and control at high fundamental frequency</w:t>
      </w:r>
    </w:p>
    <w:p>
      <w:pPr>
        <w:jc w:val="both"/>
      </w:pPr>
      <w:r>
        <w:t>The converter is not a fourth constraint but the gatekeeper that decides which region of the design space can be reached. The chapter develops the modulation ratio and the synchronous-PWM and control-stability thresholds, then shows why current harmonics matter more at high speed: they are deposited in a rotor that the air gap and the retaining sleeve thermally isolate, so that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control half of the chapter addresses what changes at low pulse ratios: current regulation, overmodulation and six-step operation, position sensing and sensorless operation, run-up through critical speeds, field weakening and protection. The chapter closes with the co-design procedure, matching pole count to converter capability, applied to both running machines.</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Control at low pulse ratios · 11.9 Position sensing and sensorless operation · 11.10 Run-up through critical speeds, field weakening, protection · 11.11 Co-design of the two running machines with their converters.</w:t>
      </w:r>
    </w:p>
    <w:p>
      <w:pPr>
        <w:jc w:val="both"/>
      </w:pPr>
      <w:r>
        <w:t>Budget: 40 pages, 26 figures, 2 tables. Contributors: P. Peltoniemi leads the chapter and writes the converter sections, 11.1 and 11.3 to 11.7, with colleagues from the LUT power electronics group; L. Aarniovuori (harmonic losses and rotor heating, 11.2); M. Hinkkanen (control at low pulse ratios, 11.8 to 11.10). DREM boundary: not covered in the earlier book.</w:t>
      </w:r>
    </w:p>
    <w:p>
      <w:pPr>
        <w:pStyle w:val="Heading4"/>
      </w:pPr>
      <w:r>
        <w:t>Chapter 12.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12.1 The gearless compressor drive: from specification to measured performance · 12.2 The ORC turbogenerator · 12.3 Manufacture and tolerance control · 12.4 Test rig, instrumentation and loss segregation at high speed · 12.5 Qualification against standards · 12.6 Failure modes and design lessons.</w:t>
      </w:r>
    </w:p>
    <w:p>
      <w:pPr>
        <w:jc w:val="both"/>
      </w:pPr>
      <w:r>
        <w:t>Budget: 28 pages, 22 figures, 3 tables. Contributors: authors, J. Saari (the compressor case, 12.1), J. Ikäheimo (manufacture and tolerance control, 12.3, and qualification against the standards, 12.5, both written from a manufacturer's practice), L. Aarniovuori (test rig and loss segregation, 12.4), J. Tiainen (industrial perspective). New: measured case data, and photographs of built machines and rotors supplied by the industrial contributors, which no competing title has.</w:t>
      </w:r>
    </w:p>
    <w:p>
      <w:pPr>
        <w:pStyle w:val="Heading4"/>
      </w:pPr>
      <w:r>
        <w:t>Chapter 13. Mobile case studies: traction, aerospace and e-turbo</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12. A closing section revisits the two paradigms with the completed designs in hand and states, with numbers, why the same physics produces opposite machines.</w:t>
      </w:r>
    </w:p>
    <w:p>
      <w:pPr>
        <w:jc w:val="both"/>
      </w:pPr>
      <w:r>
        <w:t>Sections: 13.1 The Voltcar traction machine: from specification to measured performance · 13.2 A high-specific-power aerospace generator · 13.3 An e-turbocharger above 100 000 r/min · 13.4 Testing under drive-cycle and thermal transients · 13.5 Overspeed, thermal and endurance qualification · 13.6 Failure modes and design lessons · 13.7 The two paradigms revisited.</w:t>
      </w:r>
    </w:p>
    <w:p>
      <w:pPr>
        <w:jc w:val="both"/>
      </w:pPr>
      <w:r>
        <w:t>Budget: 30 pages, 24 figures, 3 tables. Contributors: authors (Voltcar), an aerospace contributor to be invited for 13.2. New: measured case data from a current EU project.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Contributors</w:t>
      </w:r>
    </w:p>
    <w:p>
      <w:pPr>
        <w:jc w:val="both"/>
      </w:pPr>
      <w:r>
        <w:t>The author line is Canseven, Petrov and Pyrhönen. Contributors are credited at chapter level and each chapter has one of the three authors as owner and editor.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Chapters</w:t>
            </w:r>
          </w:p>
        </w:tc>
        <w:tc>
          <w:tcPr>
            <w:tcW w:type="dxa" w:w="2160"/>
          </w:tcPr>
          <w:p>
            <w:r>
              <w:rPr>
                <w:b/>
                <w:sz w:val="19"/>
              </w:rPr>
            </w:r>
            <w:r>
              <w:rPr>
                <w:b/>
                <w:sz w:val="19"/>
              </w:rPr>
              <w:t>Status</w:t>
            </w:r>
          </w:p>
        </w:tc>
      </w:tr>
      <w:tr>
        <w:tc>
          <w:tcPr>
            <w:tcW w:type="dxa" w:w="2160"/>
          </w:tcPr>
          <w:p>
            <w:r>
              <w:rPr>
                <w:sz w:val="19"/>
              </w:rPr>
            </w:r>
            <w:r>
              <w:rPr>
                <w:sz w:val="19"/>
              </w:rPr>
              <w:t>Jussi Sopanen and group</w:t>
            </w:r>
          </w:p>
        </w:tc>
        <w:tc>
          <w:tcPr>
            <w:tcW w:type="dxa" w:w="2160"/>
          </w:tcPr>
          <w:p>
            <w:r>
              <w:rPr>
                <w:sz w:val="19"/>
              </w:rPr>
            </w:r>
            <w:r>
              <w:rPr>
                <w:sz w:val="19"/>
              </w:rPr>
              <w:t>LUT, machine dynamics</w:t>
            </w:r>
          </w:p>
        </w:tc>
        <w:tc>
          <w:tcPr>
            <w:tcW w:type="dxa" w:w="2160"/>
          </w:tcPr>
          <w:p>
            <w:r>
              <w:rPr>
                <w:sz w:val="19"/>
              </w:rPr>
            </w:r>
            <w:r>
              <w:rPr>
                <w:sz w:val="19"/>
              </w:rPr>
              <w:t>4, 5, 6</w:t>
            </w:r>
          </w:p>
        </w:tc>
        <w:tc>
          <w:tcPr>
            <w:tcW w:type="dxa" w:w="2160"/>
          </w:tcPr>
          <w:p>
            <w:r>
              <w:rPr>
                <w:sz w:val="19"/>
              </w:rPr>
            </w:r>
            <w:r>
              <w:rPr>
                <w:sz w:val="19"/>
              </w:rPr>
              <w:t>agreed in principle</w:t>
            </w:r>
          </w:p>
        </w:tc>
      </w:tr>
      <w:tr>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9 lead; 8.6, 5.7 and 10.8 supporting</w:t>
            </w:r>
          </w:p>
        </w:tc>
        <w:tc>
          <w:tcPr>
            <w:tcW w:type="dxa" w:w="2160"/>
          </w:tcPr>
          <w:p>
            <w:r>
              <w:rPr>
                <w:sz w:val="19"/>
              </w:rPr>
            </w:r>
            <w:r>
              <w:rPr>
                <w:sz w:val="19"/>
              </w:rPr>
              <w:t>expected</w:t>
            </w:r>
          </w:p>
        </w:tc>
      </w:tr>
      <w:tr>
        <w:tc>
          <w:tcPr>
            <w:tcW w:type="dxa" w:w="2160"/>
          </w:tcPr>
          <w:p>
            <w:r>
              <w:rPr>
                <w:sz w:val="19"/>
              </w:rPr>
            </w:r>
            <w:r>
              <w:rPr>
                <w:sz w:val="19"/>
              </w:rPr>
              <w:t>Juha Saari</w:t>
            </w:r>
          </w:p>
        </w:tc>
        <w:tc>
          <w:tcPr>
            <w:tcW w:type="dxa" w:w="2160"/>
          </w:tcPr>
          <w:p>
            <w:r>
              <w:rPr>
                <w:sz w:val="19"/>
              </w:rPr>
            </w:r>
            <w:r>
              <w:rPr>
                <w:sz w:val="19"/>
              </w:rPr>
              <w:t>industry</w:t>
            </w:r>
          </w:p>
        </w:tc>
        <w:tc>
          <w:tcPr>
            <w:tcW w:type="dxa" w:w="2160"/>
          </w:tcPr>
          <w:p>
            <w:r>
              <w:rPr>
                <w:sz w:val="19"/>
              </w:rPr>
            </w:r>
            <w:r>
              <w:rPr>
                <w:sz w:val="19"/>
              </w:rPr>
              <w:t>2, 9.8, 12.1</w:t>
            </w:r>
          </w:p>
        </w:tc>
        <w:tc>
          <w:tcPr>
            <w:tcW w:type="dxa" w:w="2160"/>
          </w:tcPr>
          <w:p>
            <w:r>
              <w:rPr>
                <w:sz w:val="19"/>
              </w:rPr>
            </w:r>
            <w:r>
              <w:rPr>
                <w:sz w:val="19"/>
              </w:rPr>
              <w:t>to be invited</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3.2 and 3.3, 12.3, 12.5; photographs and machine material throughout</w:t>
            </w:r>
          </w:p>
        </w:tc>
        <w:tc>
          <w:tcPr>
            <w:tcW w:type="dxa" w:w="2160"/>
          </w:tcPr>
          <w:p>
            <w:r>
              <w:rPr>
                <w:sz w:val="19"/>
              </w:rPr>
            </w:r>
            <w:r>
              <w:rPr>
                <w:sz w:val="19"/>
              </w:rPr>
              <w:t>agreed in principle</w:t>
            </w:r>
          </w:p>
        </w:tc>
      </w:tr>
      <w:tr>
        <w:tc>
          <w:tcPr>
            <w:tcW w:type="dxa" w:w="2160"/>
          </w:tcPr>
          <w:p>
            <w:r>
              <w:rPr>
                <w:sz w:val="19"/>
              </w:rPr>
            </w:r>
            <w:r>
              <w:rPr>
                <w:sz w:val="19"/>
              </w:rPr>
              <w:t>Ahti Jaatinen-Värri</w:t>
            </w:r>
          </w:p>
        </w:tc>
        <w:tc>
          <w:tcPr>
            <w:tcW w:type="dxa" w:w="2160"/>
          </w:tcPr>
          <w:p>
            <w:r>
              <w:rPr>
                <w:sz w:val="19"/>
              </w:rPr>
            </w:r>
            <w:r>
              <w:rPr>
                <w:sz w:val="19"/>
              </w:rPr>
              <w:t>LUT, turbomachinery</w:t>
            </w:r>
          </w:p>
        </w:tc>
        <w:tc>
          <w:tcPr>
            <w:tcW w:type="dxa" w:w="2160"/>
          </w:tcPr>
          <w:p>
            <w:r>
              <w:rPr>
                <w:sz w:val="19"/>
              </w:rPr>
            </w:r>
            <w:r>
              <w:rPr>
                <w:sz w:val="19"/>
              </w:rPr>
              <w:t>2.2, 9.8, 10.5</w:t>
            </w:r>
          </w:p>
        </w:tc>
        <w:tc>
          <w:tcPr>
            <w:tcW w:type="dxa" w:w="2160"/>
          </w:tcPr>
          <w:p>
            <w:r>
              <w:rPr>
                <w:sz w:val="19"/>
              </w:rPr>
            </w:r>
            <w:r>
              <w:rPr>
                <w:sz w:val="19"/>
              </w:rPr>
              <w:t>to be invited</w:t>
            </w:r>
          </w:p>
        </w:tc>
      </w:tr>
      <w:tr>
        <w:tc>
          <w:tcPr>
            <w:tcW w:type="dxa" w:w="2160"/>
          </w:tcPr>
          <w:p>
            <w:r>
              <w:rPr>
                <w:sz w:val="19"/>
              </w:rPr>
            </w:r>
            <w:r>
              <w:rPr>
                <w:sz w:val="19"/>
              </w:rPr>
              <w:t>Jonna Tiainen</w:t>
            </w:r>
          </w:p>
        </w:tc>
        <w:tc>
          <w:tcPr>
            <w:tcW w:type="dxa" w:w="2160"/>
          </w:tcPr>
          <w:p>
            <w:r>
              <w:rPr>
                <w:sz w:val="19"/>
              </w:rPr>
            </w:r>
            <w:r>
              <w:rPr>
                <w:sz w:val="19"/>
              </w:rPr>
              <w:t>The Switch</w:t>
            </w:r>
          </w:p>
        </w:tc>
        <w:tc>
          <w:tcPr>
            <w:tcW w:type="dxa" w:w="2160"/>
          </w:tcPr>
          <w:p>
            <w:r>
              <w:rPr>
                <w:sz w:val="19"/>
              </w:rPr>
            </w:r>
            <w:r>
              <w:rPr>
                <w:sz w:val="19"/>
              </w:rPr>
              <w:t>2.2, 9.8, 10.5, 12</w:t>
            </w:r>
          </w:p>
        </w:tc>
        <w:tc>
          <w:tcPr>
            <w:tcW w:type="dxa" w:w="2160"/>
          </w:tcPr>
          <w:p>
            <w:r>
              <w:rPr>
                <w:sz w:val="19"/>
              </w:rPr>
            </w:r>
            <w:r>
              <w:rPr>
                <w:sz w:val="19"/>
              </w:rPr>
              <w:t>to be invited</w:t>
            </w:r>
          </w:p>
        </w:tc>
      </w:tr>
      <w:tr>
        <w:tc>
          <w:tcPr>
            <w:tcW w:type="dxa" w:w="2160"/>
          </w:tcPr>
          <w:p>
            <w:r>
              <w:rPr>
                <w:sz w:val="19"/>
              </w:rPr>
            </w:r>
            <w:r>
              <w:rPr>
                <w:sz w:val="19"/>
              </w:rPr>
              <w:t>Rafal Wrobel</w:t>
            </w:r>
          </w:p>
        </w:tc>
        <w:tc>
          <w:tcPr>
            <w:tcW w:type="dxa" w:w="2160"/>
          </w:tcPr>
          <w:p>
            <w:r>
              <w:rPr>
                <w:sz w:val="19"/>
              </w:rPr>
            </w:r>
            <w:r>
              <w:rPr>
                <w:sz w:val="19"/>
              </w:rPr>
              <w:t>Newcastle University</w:t>
            </w:r>
          </w:p>
        </w:tc>
        <w:tc>
          <w:tcPr>
            <w:tcW w:type="dxa" w:w="2160"/>
          </w:tcPr>
          <w:p>
            <w:r>
              <w:rPr>
                <w:sz w:val="19"/>
              </w:rPr>
            </w:r>
            <w:r>
              <w:rPr>
                <w:sz w:val="19"/>
              </w:rPr>
              <w:t>10.2, 10.3, 10.4 (cooling architectures)</w:t>
            </w:r>
          </w:p>
        </w:tc>
        <w:tc>
          <w:tcPr>
            <w:tcW w:type="dxa" w:w="2160"/>
          </w:tcPr>
          <w:p>
            <w:r>
              <w:rPr>
                <w:sz w:val="19"/>
              </w:rPr>
            </w:r>
            <w:r>
              <w:rPr>
                <w:sz w:val="19"/>
              </w:rPr>
              <w:t>to be invited</w:t>
            </w:r>
          </w:p>
        </w:tc>
      </w:tr>
      <w:tr>
        <w:tc>
          <w:tcPr>
            <w:tcW w:type="dxa" w:w="2160"/>
          </w:tcPr>
          <w:p>
            <w:r>
              <w:rPr>
                <w:sz w:val="19"/>
              </w:rPr>
            </w:r>
            <w:r>
              <w:rPr>
                <w:sz w:val="19"/>
              </w:rPr>
              <w:t>Janne Nerg</w:t>
            </w:r>
          </w:p>
        </w:tc>
        <w:tc>
          <w:tcPr>
            <w:tcW w:type="dxa" w:w="2160"/>
          </w:tcPr>
          <w:p>
            <w:r>
              <w:rPr>
                <w:sz w:val="19"/>
              </w:rPr>
            </w:r>
            <w:r>
              <w:rPr>
                <w:sz w:val="19"/>
              </w:rPr>
              <w:t>LUT, thermal modelling</w:t>
            </w:r>
          </w:p>
        </w:tc>
        <w:tc>
          <w:tcPr>
            <w:tcW w:type="dxa" w:w="2160"/>
          </w:tcPr>
          <w:p>
            <w:r>
              <w:rPr>
                <w:sz w:val="19"/>
              </w:rPr>
            </w:r>
            <w:r>
              <w:rPr>
                <w:sz w:val="19"/>
              </w:rPr>
              <w:t>10.6, 10.7, 10.9, 10.10 (thermal networks)</w:t>
            </w:r>
          </w:p>
        </w:tc>
        <w:tc>
          <w:tcPr>
            <w:tcW w:type="dxa" w:w="2160"/>
          </w:tcPr>
          <w:p>
            <w:r>
              <w:rPr>
                <w:sz w:val="19"/>
              </w:rPr>
            </w:r>
            <w:r>
              <w:rPr>
                <w:sz w:val="19"/>
              </w:rPr>
              <w:t>to be invited</w:t>
            </w:r>
          </w:p>
        </w:tc>
      </w:tr>
      <w:tr>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11 lead</w:t>
            </w:r>
          </w:p>
        </w:tc>
        <w:tc>
          <w:tcPr>
            <w:tcW w:type="dxa" w:w="2160"/>
          </w:tcPr>
          <w:p>
            <w:r>
              <w:rPr>
                <w:sz w:val="19"/>
              </w:rPr>
            </w:r>
            <w:r>
              <w:rPr>
                <w:sz w:val="19"/>
              </w:rPr>
              <w:t>agreed in principle</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11, 12</w:t>
            </w:r>
          </w:p>
        </w:tc>
        <w:tc>
          <w:tcPr>
            <w:tcW w:type="dxa" w:w="2160"/>
          </w:tcPr>
          <w:p>
            <w:r>
              <w:rPr>
                <w:sz w:val="19"/>
              </w:rPr>
            </w:r>
            <w:r>
              <w:rPr>
                <w:sz w:val="19"/>
              </w:rPr>
              <w:t>to be invited</w:t>
            </w:r>
          </w:p>
        </w:tc>
      </w:tr>
      <w:tr>
        <w:tc>
          <w:tcPr>
            <w:tcW w:type="dxa" w:w="2160"/>
          </w:tcPr>
          <w:p>
            <w:r>
              <w:rPr>
                <w:sz w:val="19"/>
              </w:rPr>
            </w:r>
            <w:r>
              <w:rPr>
                <w:sz w:val="19"/>
              </w:rPr>
              <w:t>bearing application specialist</w:t>
            </w:r>
          </w:p>
        </w:tc>
        <w:tc>
          <w:tcPr>
            <w:tcW w:type="dxa" w:w="2160"/>
          </w:tcPr>
          <w:p>
            <w:r>
              <w:rPr>
                <w:sz w:val="19"/>
              </w:rPr>
            </w:r>
            <w:r>
              <w:rPr>
                <w:sz w:val="19"/>
              </w:rPr>
              <w:t>industry, through J. Sopanen's network</w:t>
            </w:r>
          </w:p>
        </w:tc>
        <w:tc>
          <w:tcPr>
            <w:tcW w:type="dxa" w:w="2160"/>
          </w:tcPr>
          <w:p>
            <w:r>
              <w:rPr>
                <w:sz w:val="19"/>
              </w:rPr>
            </w:r>
            <w:r>
              <w:rPr>
                <w:sz w:val="19"/>
              </w:rPr>
              <w:t>6</w:t>
            </w:r>
          </w:p>
        </w:tc>
        <w:tc>
          <w:tcPr>
            <w:tcW w:type="dxa" w:w="2160"/>
          </w:tcPr>
          <w:p>
            <w:r>
              <w:rPr>
                <w:sz w:val="19"/>
              </w:rPr>
            </w:r>
            <w:r>
              <w:rPr>
                <w:sz w:val="19"/>
              </w:rPr>
              <w:t>to be named</w:t>
            </w:r>
          </w:p>
        </w:tc>
      </w:tr>
      <w:tr>
        <w:tc>
          <w:tcPr>
            <w:tcW w:type="dxa" w:w="2160"/>
          </w:tcPr>
          <w:p>
            <w:r>
              <w:rPr>
                <w:sz w:val="19"/>
              </w:rPr>
            </w:r>
            <w:r>
              <w:rPr>
                <w:sz w:val="19"/>
              </w:rPr>
              <w:t>Marko Hinkkanen</w:t>
            </w:r>
          </w:p>
        </w:tc>
        <w:tc>
          <w:tcPr>
            <w:tcW w:type="dxa" w:w="2160"/>
          </w:tcPr>
          <w:p>
            <w:r>
              <w:rPr>
                <w:sz w:val="19"/>
              </w:rPr>
            </w:r>
            <w:r>
              <w:rPr>
                <w:sz w:val="19"/>
              </w:rPr>
              <w:t>Aalto University, electric drives</w:t>
            </w:r>
          </w:p>
        </w:tc>
        <w:tc>
          <w:tcPr>
            <w:tcW w:type="dxa" w:w="2160"/>
          </w:tcPr>
          <w:p>
            <w:r>
              <w:rPr>
                <w:sz w:val="19"/>
              </w:rPr>
            </w:r>
            <w:r>
              <w:rPr>
                <w:sz w:val="19"/>
              </w:rPr>
              <w:t>11.8 to 11.10 (control)</w:t>
            </w:r>
          </w:p>
        </w:tc>
        <w:tc>
          <w:tcPr>
            <w:tcW w:type="dxa" w:w="2160"/>
          </w:tcPr>
          <w:p>
            <w:r>
              <w:rPr>
                <w:sz w:val="19"/>
              </w:rPr>
            </w:r>
            <w:r>
              <w:rPr>
                <w:sz w:val="19"/>
              </w:rPr>
              <w:t>to be invited</w:t>
            </w:r>
          </w:p>
        </w:tc>
      </w:tr>
      <w:tr>
        <w:tc>
          <w:tcPr>
            <w:tcW w:type="dxa" w:w="2160"/>
          </w:tcPr>
          <w:p>
            <w:r>
              <w:rPr>
                <w:sz w:val="19"/>
              </w:rPr>
            </w:r>
            <w:r>
              <w:rPr>
                <w:sz w:val="19"/>
              </w:rPr>
              <w:t>aerospace contributor</w:t>
            </w:r>
          </w:p>
        </w:tc>
        <w:tc>
          <w:tcPr>
            <w:tcW w:type="dxa" w:w="2160"/>
          </w:tcPr>
          <w:p>
            <w:r>
              <w:rPr>
                <w:sz w:val="19"/>
              </w:rPr>
            </w:r>
            <w:r>
              <w:rPr>
                <w:sz w:val="19"/>
              </w:rPr>
              <w:t>to be identified</w:t>
            </w:r>
          </w:p>
        </w:tc>
        <w:tc>
          <w:tcPr>
            <w:tcW w:type="dxa" w:w="2160"/>
          </w:tcPr>
          <w:p>
            <w:r>
              <w:rPr>
                <w:sz w:val="19"/>
              </w:rPr>
            </w:r>
            <w:r>
              <w:rPr>
                <w:sz w:val="19"/>
              </w:rPr>
              <w:t>13.2</w:t>
            </w:r>
          </w:p>
        </w:tc>
        <w:tc>
          <w:tcPr>
            <w:tcW w:type="dxa" w:w="2160"/>
          </w:tcPr>
          <w:p>
            <w:r>
              <w:rPr>
                <w:sz w:val="19"/>
              </w:rPr>
            </w:r>
            <w:r>
              <w:rPr>
                <w:sz w:val="19"/>
              </w:rPr>
              <w:t>open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