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2.3, 2.4 and 2.9; §2.2, the aerodynamic case for the speed, goes to the turbomachinery contributors).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Section 10.5 treats the convection in that same air gap at high Taylor and axial Reynolds numbers, so that the gap's two roles, as a loss source and as a heat path, are derived from one flow model instead of two disconnected ones; that section is being written with the turbomachinery contributors, and we would like your correlations to be the machine-side anchor for it. In Chapter 12, the industrial case studies, the gearless compressor drive that serves as the industrial running machine through the whole book, carried from specification to measured performance (12.1). The qualification against the standards, in §12.5, is being written by an industrial contributor from a machine manufacturer, and we would welcome your comments on it.</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Rafal Wrobel</w:t>
      </w:r>
    </w:p>
    <w:p>
      <w:pPr>
        <w:jc w:val="both"/>
      </w:pPr>
      <w:r>
        <w:t>Chapter 10, Thermal management and cooling architectures, treats the cooling architecture as a sizing variable rather than as something applied after the electromagnetic design is finished, which is the same inversion the whole book argues for. We would like you to write that part of it: 10.2, the heat paths and thermal resistances with the air gap treated as a heat source rather than a resistance; 10.3, stator cooling as a set of design choices, water jackets, in-slot cooling, direct winding cooling and end-winding spray, each with the loss density it can actually sustain and what it costs in manufacturability; and 10.4, rotor cooling, the hollow shaft, the air-gap flow used as a coolant, and the retaining sleeve that has to hold the magnets and conduct heat at once.</w:t>
      </w:r>
    </w:p>
    <w:p>
      <w:pPr>
        <w:jc w:val="both"/>
      </w:pPr>
      <w:r>
        <w:t>Budget: about 11 pages and 7 figures of the chapter's 28 pages and 18 figures. Chapter owner [Hüseyin Canseven]; J. Nerg writes the thermal networks and transients, A. Belahcen the magnet temperature, and the turbomachinery contributors the air-gap convection. First draft with Part III at month 16 after contract.</w:t>
      </w:r>
    </w:p>
    <w:p>
      <w:pPr>
        <w:pStyle w:val="Heading3"/>
      </w:pPr>
      <w:r>
        <w:t>Janne Nerg</w:t>
      </w:r>
    </w:p>
    <w:p>
      <w:pPr>
        <w:jc w:val="both"/>
      </w:pPr>
      <w:r>
        <w:t>Chapter 10, Thermal management and cooling architectures, is a chapter we have added to the plan since the first outline. We would like you to write its modelling half: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R. Wrobel writes the cooling architectures of 10.2 to 10.4, section 10.5, air-gap convection, comes from the turbomachinery contributors using the same flow model that produces the windage loss of section 9.8, and A. Belahcen writes 10.8, magnet temperature and demagnetisation margin.</w:t>
      </w:r>
    </w:p>
    <w:p>
      <w:pPr>
        <w:jc w:val="both"/>
      </w:pPr>
      <w:r>
        <w:t>Budget: about 8 pages and 5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lead it, writing the converter sections yourself: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