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*Sent. He was offered "one or two chapters" on the losses. He signed the draft letter on</w:t>
      </w:r>
    </w:p>
    <w:p>
      <w:pPr>
        <w:jc w:val="both"/>
      </w:pPr>
      <w:r>
        <w:t>3 September, with small changes of wording but the chapter sentence as drafted</w:t>
      </w:r>
    </w:p>
    <w:p>
      <w:pPr>
        <w:jc w:val="both"/>
      </w:pPr>
      <w:r>
        <w:t>(`letters/received/Support_Letter_Belahcen_SIGNED.md`). That was four days before the</w:t>
      </w:r>
    </w:p>
    <w:p>
      <w:pPr>
        <w:jc w:val="both"/>
      </w:pPr>
      <w:r>
        <w:t>restructure gave Chapter 9 to Paavo Rasilo, so it names both loss chapters.</w:t>
      </w:r>
    </w:p>
    <w:p>
      <w:pPr>
        <w:jc w:val="both"/>
      </w:pPr>
      <w:r>
        <w:t>Chapter 9 has not been discussed with him since, neither the move to Paavo nor Paavo's</w:t>
      </w:r>
    </w:p>
    <w:p>
      <w:pPr>
        <w:jc w:val="both"/>
      </w:pPr>
      <w:r>
        <w:t>decline. Who replaces Paavo is the editors' decision of 7 October, and Anouar should hear</w:t>
      </w:r>
    </w:p>
    <w:p>
      <w:pPr>
        <w:jc w:val="both"/>
      </w:pPr>
      <w:r>
        <w:t>the outcome from us before the table of contents is fixed.*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t>*Sent 3 September 2026 (Hüseyin's version), with Ilya and Juha in copy and</w:t>
      </w:r>
    </w:p>
    <w:p>
      <w:pPr>
        <w:jc w:val="both"/>
      </w:pPr>
      <w:r>
        <w:t>`letters/Support_Letter_Sopanen.docx` attached. The original is</w:t>
      </w:r>
    </w:p>
    <w:p>
      <w:pPr>
        <w:jc w:val="both"/>
      </w:pPr>
      <w:r>
        <w:t>`incoming/emails/2026-09-03_Sopanen_invitation_sent.msg`. No letter back yet. The sent</w:t>
      </w:r>
    </w:p>
    <w:p>
      <w:pPr>
        <w:jc w:val="both"/>
      </w:pPr>
      <w:r>
        <w:t>version does not ask him to name his co-authors, and does not mention the bearing specialist</w:t>
      </w:r>
    </w:p>
    <w:p>
      <w:pPr>
        <w:jc w:val="both"/>
      </w:pPr>
      <w:r>
        <w:t>for Chapter 6, so ask both when the letter is chased.*</w:t>
      </w:r>
    </w:p>
    <w:p>
      <w:pPr>
        <w:jc w:val="both"/>
      </w:pPr>
      <w:r>
        <w:t>Hello Jussi,</w:t>
      </w:r>
    </w:p>
    <w:p>
      <w:pPr>
        <w:jc w:val="both"/>
      </w:pPr>
      <w:r>
        <w:t>Thank you again for supporting the book idea at the last CoE meeting and for agreeing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i) rotor stress and magnet retention, ii) rotordynamics and vibration, and iii) the bearings, lubrication and seals of high-speed rotors. That is three chapters, and we imagine them written with members of your group or experts in the field from your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Letter returned signed, in a scan dated 5 October</w:t>
      </w:r>
    </w:p>
    <w:p>
      <w:pPr>
        <w:jc w:val="both"/>
      </w:pPr>
      <w:r>
        <w:t>(`letters/received/Support_Letter_Ikaheimo_SIGNED.md`). It takes the induction machines in</w:t>
      </w:r>
    </w:p>
    <w:p>
      <w:pPr>
        <w:jc w:val="both"/>
      </w:pPr>
      <w:r>
        <w:t>Chapter 3, §13.3 and §13.5, and the photographs "subject to my employer's agreement".</w:t>
      </w:r>
    </w:p>
    <w:p>
      <w:pPr>
        <w:jc w:val="both"/>
      </w:pPr>
      <w:r>
        <w:t>§13.3 was also offered to Jonna in the Chapter 13 email, so settle it with the chapter's</w:t>
      </w:r>
    </w:p>
    <w:p>
      <w:pPr>
        <w:jc w:val="both"/>
      </w:pPr>
      <w:r>
        <w:t>owners.*</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pPr>
        <w:pStyle w:val="Heading3"/>
      </w:pPr>
      <w:r>
        <w:t>Outcome — 21 September</w:t>
      </w:r>
    </w:p>
    <w:p>
      <w:pPr>
        <w:jc w:val="both"/>
      </w:pPr>
      <w:r>
        <w:t>*He accepted Chapter 10 entire and returned his letter on 21 September (see</w:t>
      </w:r>
    </w:p>
    <w:p>
      <w:pPr>
        <w:jc w:val="both"/>
      </w:pPr>
      <w:r>
        <w:t>`letters/received/Support_Letter_Wrobel_RETURNED.md`). Two things must be fixed before it</w:t>
      </w:r>
    </w:p>
    <w:p>
      <w:pPr>
        <w:jc w:val="both"/>
      </w:pPr>
      <w:r>
        <w:t>goes to Wiley: the letterhead still reads "[insert preferred professional email]", and the</w:t>
      </w:r>
    </w:p>
    <w:p>
      <w:pPr>
        <w:jc w:val="both"/>
      </w:pPr>
      <w:r>
        <w:t>letter is unsigned. He now writes as an independent researcher and engineering consultant,</w:t>
      </w:r>
    </w:p>
    <w:p>
      <w:pPr>
        <w:jc w:val="both"/>
      </w:pPr>
      <w:r>
        <w:t>not as Newcastle University, so ask how he wants to be listed.*</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t>*He has already agreed to contribute, so this confirms rather than asks. Sent version.</w:t>
      </w:r>
    </w:p>
    <w:p>
      <w:pPr>
        <w:jc w:val="both"/>
      </w:pPr>
      <w:r>
        <w:t>Letter returned signed on 22 September; see</w:t>
      </w:r>
    </w:p>
    <w:p>
      <w:pPr>
        <w:jc w:val="both"/>
      </w:pPr>
      <w:r>
        <w:t>`letters/received/Support_Letter_Peltoniemi_SIGNED.md`.*</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*Done: his letter came back signed on LUT letterhead, in a scan dated 7 September. It</w:t>
      </w:r>
    </w:p>
    <w:p>
      <w:pPr>
        <w:jc w:val="both"/>
      </w:pPr>
      <w:r>
        <w:t>takes §11.2 and §13.4, as offered; see</w:t>
      </w:r>
    </w:p>
    <w:p>
      <w:pPr>
        <w:jc w:val="both"/>
      </w:pPr>
      <w:r>
        <w:t>`letters/received/Support_Letter_Aarniovuori_SIGNED.md`.*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sent 4 September</w:t>
      </w:r>
    </w:p>
    <w:p>
      <w:pPr>
        <w:jc w:val="both"/>
      </w:pPr>
      <w:r>
        <w:t>*Sent 4 September 2026 (Hüseyin's version), with Ilya and Juha in copy and nothing attached.</w:t>
      </w:r>
    </w:p>
    <w:p>
      <w:pPr>
        <w:jc w:val="both"/>
      </w:pPr>
      <w:r>
        <w:t>The original is `incoming/emails/2026-09-04_Hinkkanen_invitation_sent.msg`. It went out three</w:t>
      </w:r>
    </w:p>
    <w:p>
      <w:pPr>
        <w:jc w:val="both"/>
      </w:pPr>
      <w:r>
        <w:t>days before the drive chapter was split, so it offers "the control side" of the drive chapter</w:t>
      </w:r>
    </w:p>
    <w:p>
      <w:pPr>
        <w:jc w:val="both"/>
      </w:pPr>
      <w:r>
        <w:t>rather than a chapter of his own. It puts the pulse ratio at "ten or below" and "eight". No</w:t>
      </w:r>
    </w:p>
    <w:p>
      <w:pPr>
        <w:jc w:val="both"/>
      </w:pPr>
      <w:r>
        <w:t>reply recorded as of 7 October.*</w:t>
      </w:r>
    </w:p>
    <w:p>
      <w:pPr>
        <w:jc w:val="both"/>
      </w:pPr>
      <w:r>
        <w:t>Dear Professor Hinkkanen,</w:t>
      </w:r>
    </w:p>
    <w:p>
      <w:pPr>
        <w:jc w:val="both"/>
      </w:pPr>
      <w:r>
        <w:t>I am Hüseyin Canseven from LUT University. We met with you in CoE project meetings a few times, but maybe you might not recognise my name. Let me introduce myself. I am a post-doctoral researcher and working on high-speed electrical machines. We are preparing a proposal to Wiley-IEEE Press for a book together with Juha Pyrhönen and Ilya Petrov on high-speed machines and drives. We believe the topic of the book is strongly aligned with CoE project.</w:t>
      </w:r>
    </w:p>
    <w:p>
      <w:pPr>
        <w:jc w:val="both"/>
      </w:pPr>
      <w:r>
        <w:t>One of its chapters treats the drive as the element that decides which machines can be built at all. The converter side of that chapter is being written by Pasi Peltoniemi at LUT, and the part we would like to ask you for is the control side.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send you the completed introductory chapter and the annotated table of contents if you wish to see.</w:t>
      </w:r>
    </w:p>
    <w:p>
      <w:pPr>
        <w:jc w:val="both"/>
      </w:pPr>
      <w:r>
        <w:t>Best Regards, Hüseyin</w:t>
      </w:r>
    </w:p>
    <w:p>
      <w:pPr>
        <w:pStyle w:val="Heading3"/>
      </w:pPr>
      <w:r>
        <w:t>Follow-up — not yet sent</w:t>
      </w:r>
    </w:p>
    <w:p>
      <w:pPr>
        <w:jc w:val="both"/>
      </w:pPr>
      <w:r>
        <w:t>*Five weeks without a reply. A short follow-up can carry the one piece of news: the control</w:t>
      </w:r>
    </w:p>
    <w:p>
      <w:pPr>
        <w:jc w:val="both"/>
      </w:pPr>
      <w:r>
        <w:t>side is now a chapter of its own, Chapter 12, about eighteen pages, and it would be his.</w:t>
      </w:r>
    </w:p>
    <w:p>
      <w:pPr>
        <w:jc w:val="both"/>
      </w:pPr>
      <w:r>
        <w:t>That is a larger offer than the one he has not answered, so it gives him a reason to reply.</w:t>
      </w:r>
    </w:p>
    <w:p>
      <w:pPr>
        <w:jc w:val="both"/>
      </w:pPr>
      <w:r>
        <w:t>An introduction from Juha, or from Anouar at Aalto, would still help. Settle the pulse-ratio</w:t>
      </w:r>
    </w:p>
    <w:p>
      <w:pPr>
        <w:jc w:val="both"/>
      </w:pPr>
      <w:r>
        <w:t>wording with Juha first; he reads it as "nine or eleven".*</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