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 proposal: meeting brief, 7 October 2026</w:t>
      </w:r>
    </w:p>
    <w:p>
      <w:pPr>
        <w:jc w:val="both"/>
      </w:pPr>
      <w:r>
        <w:rPr>
          <w:i/>
        </w:rPr>
        <w:t>High-Speed Electrical Machines and Drives</w:t>
      </w:r>
      <w:r>
        <w:t xml:space="preserve"> · Hüseyin Canseven, Ilya Petrov, Juha Pyrhönen</w:t>
      </w:r>
    </w:p>
    <w:p>
      <w:pPr>
        <w:jc w:val="both"/>
      </w:pPr>
      <w:r>
        <w:rPr>
          <w:i/>
        </w:rPr>
        <w:t>Internal note for the three of us. It records contributors' answers, so it is not for circulation. Updated at mid-morning with the letters from Wróbel, Peltoniemi, Aarniovuori, Belahcen and Ikäheimo and the invitations sent to Sopanen and Hinkkanen. Anything else that has arrived by email is not in it, so correct the tables in the meeting.</w:t>
      </w:r>
    </w:p>
    <w:p>
      <w:pPr>
        <w:pStyle w:val="Heading1"/>
      </w:pPr>
      <w:r>
        <w:t>Where we are</w:t>
      </w:r>
    </w:p>
    <w:p>
      <w:pPr>
        <w:pStyle w:val="ListBullet"/>
        <w:spacing w:after="60"/>
      </w:pPr>
      <w:r>
        <w:rPr>
          <w:b/>
        </w:rPr>
        <w:t>Chapter 1</w:t>
      </w:r>
      <w:r>
        <w:t xml:space="preserve"> is written and is now in the house style throughout: all nine figures are redrawn, and every table and caption uses one style. It is 24 pages. Five items remain to be folded in before the version that goes to Wiley.</w:t>
      </w:r>
    </w:p>
    <w:p>
      <w:pPr>
        <w:pStyle w:val="ListBullet"/>
        <w:spacing w:after="60"/>
      </w:pPr>
      <w:r>
        <w:rPr>
          <w:b/>
        </w:rPr>
        <w:t>The annotated table of contents</w:t>
      </w:r>
      <w:r>
        <w:t xml:space="preserve"> has 14 chapters and 454 pages: 414 of chapters plus 40 of front and back matter, against a target of 450 and a ceiling of 500. It cannot go to anyone new until Chapter 9 has an owner, because every copy still names Paavo Rasilo.</w:t>
      </w:r>
    </w:p>
    <w:p>
      <w:pPr>
        <w:pStyle w:val="ListBullet"/>
        <w:spacing w:after="60"/>
      </w:pPr>
      <w:r>
        <w:rPr>
          <w:b/>
        </w:rPr>
        <w:t>Contributors.</w:t>
      </w:r>
    </w:p>
    <w:p>
      <w:pPr>
        <w:pStyle w:val="ListBullet2"/>
        <w:spacing w:after="60"/>
      </w:pPr>
      <w:r>
        <w:t>In writing: Juha Saari (Chapter 2), Anouar Belahcen (Chapter 8; his letter names both loss chapters, see decision 1), Rafał Wróbel (Chapter 10), Pasi Peltoniemi (Chapter 11), Lassi Aarniovuori (§11.2 and §13.4) and Jouni Ikäheimo (Chapter 3's induction machines, §13.3 and §13.5).</w:t>
      </w:r>
    </w:p>
    <w:p>
      <w:pPr>
        <w:pStyle w:val="ListBullet2"/>
        <w:spacing w:after="60"/>
      </w:pPr>
      <w:r>
        <w:t>Paavo Rasilo declined Chapter 9 on 20 September.</w:t>
      </w:r>
    </w:p>
    <w:p>
      <w:pPr>
        <w:pStyle w:val="ListBullet2"/>
        <w:spacing w:after="60"/>
      </w:pPr>
      <w:r>
        <w:t>Jussi Sopanen agreed in principle and was invited on 3 September; his letter has not come back.</w:t>
      </w:r>
    </w:p>
    <w:p>
      <w:pPr>
        <w:pStyle w:val="ListBullet2"/>
        <w:spacing w:after="60"/>
      </w:pPr>
      <w:r>
        <w:t>Marko Hinkkanen was invited on 4 September, for the control side of the drive chapter, three days before it became Chapter 12. He has not replied.</w:t>
      </w:r>
    </w:p>
    <w:p>
      <w:pPr>
        <w:pStyle w:val="ListBullet2"/>
        <w:spacing w:after="60"/>
      </w:pPr>
      <w:r>
        <w:t>Tiainen and Jaatinen-Värri, and Pippuri-Mäkeläinen, have been invited, with no answer recorded.</w:t>
      </w:r>
    </w:p>
    <w:p>
      <w:pPr>
        <w:pStyle w:val="ListBullet"/>
        <w:spacing w:after="60"/>
      </w:pPr>
      <w:r>
        <w:rPr>
          <w:b/>
        </w:rPr>
        <w:t>Letters of support:</w:t>
      </w:r>
      <w:r>
        <w:t xml:space="preserve"> six of ten are back: Saari, Aarniovuori, Wróbel, Peltoniemi, Belahcen and Ikäheimo. Wróbel's must be fixed before it goes to Wiley.</w:t>
      </w:r>
    </w:p>
    <w:p>
      <w:pPr>
        <w:pStyle w:val="ListBullet"/>
        <w:spacing w:after="60"/>
      </w:pPr>
      <w:r>
        <w:rPr>
          <w:b/>
        </w:rPr>
        <w:t>Not yet started for the package:</w:t>
      </w:r>
      <w:r>
        <w:t xml:space="preserve"> the partial Chapter 7, the biographies, the competing-titles analysis and Wiley's proposal form.</w:t>
      </w:r>
    </w:p>
    <w:p>
      <w:pPr>
        <w:pStyle w:val="ListBullet"/>
        <w:spacing w:after="60"/>
      </w:pPr>
      <w:r>
        <w:rPr>
          <w:b/>
        </w:rPr>
        <w:t>Wiley:</w:t>
      </w:r>
      <w:r>
        <w:t xml:space="preserve"> Juha's question of 15 September, whether he should send the first letter to Wiley, is still unanswered.</w:t>
      </w:r>
    </w:p>
    <w:p>
      <w:pPr>
        <w:pStyle w:val="Heading1"/>
      </w:pPr>
      <w:r>
        <w:t>Decisions needed today</w:t>
      </w:r>
    </w:p>
    <w:p>
      <w:pPr>
        <w:pStyle w:val="ListNumber"/>
        <w:spacing w:after="80"/>
      </w:pPr>
      <w:r>
        <w:rPr>
          <w:b/>
        </w:rPr>
        <w:t>Who replaces Paavo Rasilo on Chapter 9.</w:t>
      </w:r>
      <w:r>
        <w:t xml:space="preserve"> Paavo declined on 20 September and suggested Anouar Belahcen and Floran Martin. Chapter 9 has not been discussed with Anouar.</w:t>
      </w:r>
    </w:p>
    <w:p>
      <w:pPr>
        <w:pStyle w:val="ListContinue"/>
      </w:pPr>
      <w:r>
        <w:t>One fact bears on every option. Anouar signed his letter on 3 September, four days before the restructure gave Chapter 9 to Paavo, and its chapter sentence is ours word for word: he will contribute "the loss chapters of the book, on AC winding losses and conductor design and on the core, rotor and aerodynamic losses". That matched our invitation, which offered him "one or two chapters" on the losses.</w:t>
      </w:r>
    </w:p>
    <w:p>
      <w:pPr>
        <w:pStyle w:val="ListContinue"/>
      </w:pPr>
      <w:r>
        <w:t>The options:</w:t>
      </w:r>
    </w:p>
    <w:p>
      <w:pPr>
        <w:pStyle w:val="ListBullet2"/>
        <w:spacing w:after="60"/>
      </w:pPr>
      <w:r>
        <w:rPr>
          <w:b/>
        </w:rPr>
        <w:t>A. Anouar takes Chapter 9 as well as Chapter 8</w:t>
      </w:r>
      <w:r>
        <w:t>, with Floran as co-author if he wants one. His letter stands as written. One owner for both loss chapters removes the seam between their loss budgets. The cost is 58 pages for one person, though Sopanen already carries 96.</w:t>
      </w:r>
    </w:p>
    <w:p>
      <w:pPr>
        <w:pStyle w:val="ListBullet2"/>
        <w:spacing w:after="60"/>
      </w:pPr>
      <w:r>
        <w:rPr>
          <w:b/>
        </w:rPr>
        <w:t>B. Floran Martin owns Chapter 9</w:t>
      </w:r>
      <w:r>
        <w:t>, introduced with Paavo's name. We asked Paavo whether we may use it, and no answer is recorded. This puts a new name on the proposal and spreads the load, but it is a cold approach at a late stage.</w:t>
      </w:r>
    </w:p>
    <w:p>
      <w:pPr>
        <w:pStyle w:val="ListBullet2"/>
        <w:spacing w:after="60"/>
      </w:pPr>
      <w:r>
        <w:rPr>
          <w:b/>
        </w:rPr>
        <w:t>C. We take Chapter 9 ourselves.</w:t>
      </w:r>
      <w:r>
        <w:t xml:space="preserve"> Ilya is already down for its rotor losses, and the solid-rotor loss modelling of Chong Di's dissertation belongs there. This raises our own share of the book and adds to our writing.</w:t>
      </w:r>
    </w:p>
    <w:p>
      <w:pPr>
        <w:pStyle w:val="ListContinue"/>
      </w:pPr>
      <w:r>
        <w:t>Under B or C, Anouar's letter stays accurate only if he still writes part of Chapter 9. Otherwise its chapter sentence must change. Whichever we choose, Anouar should hear it from us before the table of contents is fixed. The windage section, §9.8, still needs its writer under every option, and Juha Saari is the natural name.</w:t>
      </w:r>
    </w:p>
    <w:p>
      <w:pPr>
        <w:pStyle w:val="ListNumber"/>
        <w:spacing w:after="80"/>
      </w:pPr>
      <w:r>
        <w:rPr>
          <w:b/>
        </w:rPr>
        <w:t>Authored book or edited volume.</w:t>
      </w:r>
      <w:r>
        <w:t xml:space="preserve"> Juha's revision of the table of contents reads "Editors", and Juha has described the book that way to contributors since 9 September. Everything else still says "authors": the byline, the confidentiality notice and its copyright line, the invitations and the letters. Contributors own 11 of the 14 chapters, so "edited" is the honest description. It does change the Wiley contract, the contributor agreements and royalties, and how reviewers read the book. Decide, then change every document at once.</w:t>
      </w:r>
    </w:p>
    <w:p>
      <w:pPr>
        <w:pStyle w:val="ListNumber"/>
        <w:spacing w:after="80"/>
      </w:pPr>
      <w:r>
        <w:rPr>
          <w:b/>
        </w:rPr>
        <w:t>Wiley: who writes, and what we ask.</w:t>
      </w:r>
      <w:r>
        <w:t xml:space="preserve"> First, answer Juha's question; recommended: Juha writes, given his history with Wiley. The questions to put to them:</w:t>
      </w:r>
    </w:p>
    <w:p>
      <w:pPr>
        <w:pStyle w:val="ListBullet2"/>
        <w:spacing w:after="60"/>
      </w:pPr>
      <w:r>
        <w:t>Does the book print in colour or greyscale?</w:t>
      </w:r>
    </w:p>
    <w:p>
      <w:pPr>
        <w:pStyle w:val="ListBullet2"/>
        <w:spacing w:after="60"/>
      </w:pPr>
      <w:r>
        <w:t>Do they accept AI-generated images? The house style assumes not.</w:t>
      </w:r>
    </w:p>
    <w:p>
      <w:pPr>
        <w:pStyle w:val="ListBullet2"/>
        <w:spacing w:after="60"/>
      </w:pPr>
      <w:r>
        <w:t>What is the trim size? Every figure's width can be changed in one place.</w:t>
      </w:r>
    </w:p>
    <w:p>
      <w:pPr>
        <w:pStyle w:val="ListBullet2"/>
        <w:spacing w:after="60"/>
      </w:pPr>
      <w:r>
        <w:t>What is the page ceiling? The plan stands at 454 of 500.</w:t>
      </w:r>
    </w:p>
    <w:p>
      <w:pPr>
        <w:pStyle w:val="ListBullet2"/>
        <w:spacing w:after="60"/>
      </w:pPr>
      <w:r>
        <w:t>Is there a companion site for the Python notebooks?</w:t>
      </w:r>
    </w:p>
    <w:p>
      <w:pPr>
        <w:pStyle w:val="ListBullet2"/>
        <w:spacing w:after="60"/>
      </w:pPr>
      <w:r>
        <w:t>Do they prefer an authored or an edited volume?</w:t>
      </w:r>
    </w:p>
    <w:p>
      <w:pPr>
        <w:pStyle w:val="ListNumber"/>
        <w:spacing w:after="80"/>
      </w:pPr>
      <w:r>
        <w:rPr>
          <w:b/>
        </w:rPr>
        <w:t>Submission date.</w:t>
      </w:r>
      <w:r>
        <w:t xml:space="preserve"> Fix the month. It sets the reply-by dates in every pending email, and fills the "[month]" left in the timeline we gave Juha Saari.</w:t>
      </w:r>
    </w:p>
    <w:p>
      <w:pPr>
        <w:pStyle w:val="ListNumber"/>
        <w:spacing w:after="80"/>
      </w:pPr>
      <w:r>
        <w:rPr>
          <w:b/>
        </w:rPr>
        <w:t>The rest of the package, and who prepares it.</w:t>
      </w:r>
      <w:r>
        <w:t xml:space="preserve"> Section 7 of the table of contents promises three pieces that do not exist yet:</w:t>
      </w:r>
    </w:p>
    <w:p>
      <w:pPr>
        <w:pStyle w:val="ListBullet2"/>
        <w:spacing w:after="60"/>
      </w:pPr>
      <w:r>
        <w:t>a partial Chapter 7, showing the inverted sizing procedure on one running machine;</w:t>
      </w:r>
    </w:p>
    <w:p>
      <w:pPr>
        <w:pStyle w:val="ListBullet2"/>
        <w:spacing w:after="60"/>
      </w:pPr>
      <w:r>
        <w:t>the biographies;</w:t>
      </w:r>
    </w:p>
    <w:p>
      <w:pPr>
        <w:pStyle w:val="ListBullet2"/>
        <w:spacing w:after="60"/>
      </w:pPr>
      <w:r>
        <w:t>a competing-titles analysis.</w:t>
      </w:r>
    </w:p>
    <w:p>
      <w:pPr>
        <w:pStyle w:val="ListContinue"/>
      </w:pPr>
      <w:r>
        <w:t>Wiley's proposal form is needed too, and it normally asks for suggested reviewers. Assign each piece, or drop the Chapter 7 promise.</w:t>
      </w:r>
    </w:p>
    <w:p>
      <w:pPr>
        <w:pStyle w:val="ListNumber"/>
        <w:spacing w:after="80"/>
      </w:pPr>
      <w:r>
        <w:rPr>
          <w:b/>
        </w:rPr>
        <w:t>Running-machine data.</w:t>
      </w:r>
    </w:p>
    <w:p>
      <w:pPr>
        <w:pStyle w:val="ListBullet2"/>
        <w:spacing w:after="60"/>
      </w:pPr>
      <w:r>
        <w:rPr>
          <w:b/>
        </w:rPr>
        <w:t>Industrial:</w:t>
      </w:r>
      <w:r>
        <w:t xml:space="preserve"> the 2 MW solid-rotor machine of Chong Di's dissertation was built and tested, but the results are unpublished. Decide what may appear, and whether anyone outside LUT must agree.</w:t>
      </w:r>
    </w:p>
    <w:p>
      <w:pPr>
        <w:pStyle w:val="ListBullet2"/>
        <w:spacing w:after="60"/>
      </w:pPr>
      <w:r>
        <w:rPr>
          <w:b/>
        </w:rPr>
        <w:t>Mobile:</w:t>
      </w:r>
      <w:r>
        <w:t xml:space="preserve"> nine chapters rest on Voltcar, and the consortium's permission to publish has not yet been obtained. Jenni's draft letter says she will obtain it. A late refusal would cost the mobile half of the book, so this should be settled before submission.</w:t>
      </w:r>
    </w:p>
    <w:p>
      <w:pPr>
        <w:pStyle w:val="Heading1"/>
      </w:pPr>
      <w:r>
        <w:t>Chapter 1 and the figures</w:t>
      </w:r>
    </w:p>
    <w:p>
      <w:pPr>
        <w:pStyle w:val="ListBullet"/>
        <w:spacing w:after="60"/>
      </w:pPr>
      <w:r>
        <w:rPr>
          <w:b/>
        </w:rPr>
        <w:t>To look at together:</w:t>
      </w:r>
      <w:r>
        <w:t xml:space="preserve"> the new Figure 1.2 and Figure 1.4.</w:t>
      </w:r>
    </w:p>
    <w:p>
      <w:pPr>
        <w:pStyle w:val="ListBullet2"/>
        <w:spacing w:after="60"/>
      </w:pPr>
      <w:r>
        <w:t>Figure 1.2(b) is now drawn the same way as (a). It shows the motor's upper half cut open, the radial and axial AMBs, the impeller on the motor shaft, and an empty floor where the oil system was.</w:t>
      </w:r>
    </w:p>
    <w:p>
      <w:pPr>
        <w:pStyle w:val="ListBullet2"/>
        <w:spacing w:after="60"/>
      </w:pPr>
      <w:r>
        <w:t>Figure 1.4 draws the rotor to scale above the four mode shapes.</w:t>
      </w:r>
    </w:p>
    <w:p>
      <w:pPr>
        <w:pStyle w:val="ListBullet2"/>
        <w:spacing w:after="60"/>
      </w:pPr>
      <w:r>
        <w:t>Juha's points of 15 September: the oil cooler he found missing is now drawn. He also asked for a photorealistic AI picture of the geared drive, which the house style excludes because the copyright in AI images is unsettled.</w:t>
      </w:r>
    </w:p>
    <w:p>
      <w:pPr>
        <w:pStyle w:val="ListBullet"/>
        <w:spacing w:after="60"/>
      </w:pPr>
      <w:r>
        <w:rPr>
          <w:b/>
        </w:rPr>
        <w:t>Figure 1.4 needs its data.</w:t>
      </w:r>
      <w:r>
        <w:t xml:space="preserve"> The curves were traced from the old picture. Who holds the MATLAB model? Export the four mode shapes, and confirm the labels: three "radial AMB" and "active part". The rotor's proportions resemble the 2 MW machine's; if it is that rotor, the caption could say so.</w:t>
      </w:r>
    </w:p>
    <w:p>
      <w:pPr>
        <w:pStyle w:val="ListBullet"/>
        <w:spacing w:after="60"/>
      </w:pPr>
      <w:r>
        <w:rPr>
          <w:b/>
        </w:rPr>
        <w:t>Still to fold in, as one revision before submission:</w:t>
      </w:r>
    </w:p>
    <w:p>
      <w:pPr>
        <w:pStyle w:val="ListBullet2"/>
        <w:spacing w:after="60"/>
      </w:pPr>
      <w:r>
        <w:t>§1.1.2 on specific speed, from Ahti's draft 2 of 6 October. Two things are open:</w:t>
      </w:r>
    </w:p>
    <w:p>
      <w:pPr>
        <w:pStyle w:val="ListBullet3"/>
        <w:spacing w:after="60"/>
      </w:pPr>
      <w:r>
        <w:t>our corrections: the Table 1 densities were taken at 0 °C against 15 °C, and equations (1) and (3) need fixing;</w:t>
      </w:r>
    </w:p>
    <w:p>
      <w:pPr>
        <w:pStyle w:val="ListBullet3"/>
        <w:spacing w:after="60"/>
      </w:pPr>
      <w:r>
        <w:t>his answer on the turbine convention for the volume flow.</w:t>
      </w:r>
    </w:p>
    <w:p>
      <w:pPr>
        <w:pStyle w:val="ListContinue2"/>
      </w:pPr>
      <w:r>
        <w:t>This is Juha's thread with Ahti: where does it stand?</w:t>
      </w:r>
    </w:p>
    <w:p>
      <w:pPr>
        <w:pStyle w:val="ListBullet2"/>
        <w:spacing w:after="60"/>
      </w:pPr>
      <w:r>
        <w:t>The missing §1.2 heading: the chapter runs from §1.1.2 straight into §1.2.1.</w:t>
      </w:r>
    </w:p>
    <w:p>
      <w:pPr>
        <w:pStyle w:val="ListBullet2"/>
        <w:spacing w:after="60"/>
      </w:pPr>
      <w:r>
        <w:t>"mechanical rpm value" in §1.1, to read r/min.</w:t>
      </w:r>
    </w:p>
    <w:p>
      <w:pPr>
        <w:pStyle w:val="ListBullet2"/>
        <w:spacing w:after="60"/>
      </w:pPr>
      <w:r>
        <w:t>The pulse-ratio wording, against Juha's "nine or eleven".</w:t>
      </w:r>
    </w:p>
    <w:p>
      <w:pPr>
        <w:pStyle w:val="ListBullet2"/>
        <w:spacing w:after="60"/>
      </w:pPr>
      <w:r>
        <w:t>Figure 1.5: do the illustrative loss values stay? The caption says they are illustrative.</w:t>
      </w:r>
    </w:p>
    <w:p>
      <w:pPr>
        <w:pStyle w:val="ListBullet"/>
        <w:spacing w:after="60"/>
      </w:pPr>
      <w:r>
        <w:rPr>
          <w:b/>
        </w:rPr>
        <w:t>Copies already out.</w:t>
      </w:r>
      <w:r>
        <w:t xml:space="preserve"> Wrobel, Saari, Ahti and Jonna hold the earlier Chapter 1, whose Figure 1.5 was AI-generated. Resend once with the corrected table of contents, or leave it until submission?</w:t>
      </w:r>
    </w:p>
    <w:p>
      <w:pPr>
        <w:pStyle w:val="ListBullet"/>
        <w:spacing w:after="60"/>
      </w:pPr>
      <w:r>
        <w:rPr>
          <w:b/>
        </w:rPr>
        <w:t>House style for the whole book.</w:t>
      </w:r>
      <w:r>
        <w:t xml:space="preserve"> Approve House_Style.docx. Its MATLAB version has not been tested: can someone in the group try it on one figure?</w:t>
      </w:r>
    </w:p>
    <w:p>
      <w:pPr>
        <w:pStyle w:val="Heading1"/>
      </w:pPr>
      <w:r>
        <w:t>The table of contents</w:t>
      </w:r>
    </w:p>
    <w:p>
      <w:pPr>
        <w:pStyle w:val="ListBullet"/>
        <w:spacing w:after="60"/>
      </w:pPr>
      <w:r>
        <w:rPr>
          <w:b/>
        </w:rPr>
        <w:t>Merge Juha's revision</w:t>
      </w:r>
      <w:r>
        <w:t xml:space="preserve"> with the changes made since. His revision rewrites the register of every abstract, makes the text 26 % longer, and uses "Editors". The later changes:</w:t>
      </w:r>
    </w:p>
    <w:p>
      <w:pPr>
        <w:pStyle w:val="ListBullet2"/>
        <w:spacing w:after="60"/>
      </w:pPr>
      <w:r>
        <w:t>Chapter 1 at 28 pages with §1.1.2;</w:t>
      </w:r>
    </w:p>
    <w:p>
      <w:pPr>
        <w:pStyle w:val="ListBullet2"/>
        <w:spacing w:after="60"/>
      </w:pPr>
      <w:r>
        <w:t>§2.2 retitled;</w:t>
      </w:r>
    </w:p>
    <w:p>
      <w:pPr>
        <w:pStyle w:val="ListBullet2"/>
        <w:spacing w:after="60"/>
      </w:pPr>
      <w:r>
        <w:t>Chapter 13 with Ahti as point of contact;</w:t>
      </w:r>
    </w:p>
    <w:p>
      <w:pPr>
        <w:pStyle w:val="ListBullet2"/>
        <w:spacing w:after="60"/>
      </w:pPr>
      <w:r>
        <w:t>totals of 414 and 454 pages.</w:t>
      </w:r>
    </w:p>
    <w:p>
      <w:pPr>
        <w:pStyle w:val="ListBullet"/>
        <w:spacing w:after="60"/>
      </w:pPr>
      <w:r>
        <w:rPr>
          <w:b/>
        </w:rPr>
        <w:t>Then four fixes:</w:t>
      </w:r>
    </w:p>
    <w:p>
      <w:pPr>
        <w:pStyle w:val="ListBullet2"/>
        <w:spacing w:after="60"/>
      </w:pPr>
      <w:r>
        <w:t>Chapter 9's owner, in three places;</w:t>
      </w:r>
    </w:p>
    <w:p>
      <w:pPr>
        <w:pStyle w:val="ListBullet2"/>
        <w:spacing w:after="60"/>
      </w:pPr>
      <w:r>
        <w:t>"Upheat Solutions" for Juha Saari;</w:t>
      </w:r>
    </w:p>
    <w:p>
      <w:pPr>
        <w:pStyle w:val="ListBullet2"/>
        <w:spacing w:after="60"/>
      </w:pPr>
      <w:r>
        <w:t>Chapter 14's title, which says "traction" although the chapter also has aerospace and e-turbocharger sections;</w:t>
      </w:r>
    </w:p>
    <w:p>
      <w:pPr>
        <w:pStyle w:val="ListBullet2"/>
        <w:spacing w:after="60"/>
      </w:pPr>
      <w:r>
        <w:t>no Status column in the contributors' copy.</w:t>
      </w:r>
    </w:p>
    <w:p>
      <w:pPr>
        <w:pStyle w:val="Heading1"/>
      </w:pPr>
      <w:r>
        <w:t>What the returned letters change</w:t>
      </w:r>
    </w:p>
    <w:p>
      <w:pPr>
        <w:pStyle w:val="ListBullet"/>
        <w:spacing w:after="60"/>
      </w:pPr>
      <w:r>
        <w:rPr>
          <w:b/>
        </w:rPr>
        <w:t>Belahcen</w:t>
      </w:r>
      <w:r>
        <w:t xml:space="preserve"> signed on 3 September, on Aalto letterhead, dated and with a subject line. Its chapter sentence is the one we drafted, so it names both loss chapters: see decision 1.</w:t>
      </w:r>
    </w:p>
    <w:p>
      <w:pPr>
        <w:pStyle w:val="ListBullet"/>
        <w:spacing w:after="60"/>
      </w:pPr>
      <w:r>
        <w:rPr>
          <w:b/>
        </w:rPr>
        <w:t>Wróbel</w:t>
      </w:r>
      <w:r>
        <w:t xml:space="preserve"> takes Chapter 10 entire, but his letter cannot go to Wiley as it stands. Its letterhead still reads "Email: [insert preferred professional email]", and it is not signed. He also now writes as an independent researcher and engineering consultant, not as Newcastle University. Ask how he wants to be listed, including whether with diacritics, Rafał Wróbel.</w:t>
      </w:r>
    </w:p>
    <w:p>
      <w:pPr>
        <w:pStyle w:val="ListBullet"/>
        <w:spacing w:after="60"/>
      </w:pPr>
      <w:r>
        <w:rPr>
          <w:b/>
        </w:rPr>
        <w:t>Peltoniemi</w:t>
      </w:r>
      <w:r>
        <w:t xml:space="preserve"> describes his chapter as "power-electronic constraints and converter–machine interaction in high-speed electrical drives". He treats insulation, bearing currents and EMC through the converter-generated stresses, not their full physics. The Chapter 11 abstract should say the same, because Wiley's reviewers read the letters beside the table of contents.</w:t>
      </w:r>
    </w:p>
    <w:p>
      <w:pPr>
        <w:pStyle w:val="ListBullet"/>
        <w:spacing w:after="60"/>
      </w:pPr>
      <w:r>
        <w:rPr>
          <w:b/>
        </w:rPr>
        <w:t>Aarniovuori</w:t>
      </w:r>
      <w:r>
        <w:t xml:space="preserve"> takes §11.2 and §13.4, as offered, and adds service on IEC and CENELEC standardisation committees.</w:t>
      </w:r>
    </w:p>
    <w:p>
      <w:pPr>
        <w:pStyle w:val="ListBullet"/>
        <w:spacing w:after="60"/>
      </w:pPr>
      <w:r>
        <w:rPr>
          <w:b/>
        </w:rPr>
        <w:t>Ikäheimo</w:t>
      </w:r>
      <w:r>
        <w:t xml:space="preserve"> takes the induction machines in Chapter 3, manufacture and tolerance control (§13.3), and qualification against international standards (§13.5). He offers photographs "subject to my employer's agreement", so ABB still has to be asked. One overlap to settle: our Chapter 13 email offered §13.3 to Jonna first, with "a colleague at ABB" as the fallback, and Jouni's letter now takes it. Settle it with the chapter's owners once they answer.</w:t>
      </w:r>
    </w:p>
    <w:p>
      <w:pPr>
        <w:pStyle w:val="ListBullet"/>
        <w:spacing w:after="60"/>
      </w:pPr>
      <w:r>
        <w:rPr>
          <w:b/>
        </w:rPr>
        <w:t>Most letters name neither the book nor us</w:t>
      </w:r>
      <w:r>
        <w:t xml:space="preserve"> (Saari, Aarniovuori, Peltoniemi, Ikäheimo), and four are undated. Rather than send them back, bundle the letters behind a cover sheet that gives the title and the editors and lists them.</w:t>
      </w:r>
    </w:p>
    <w:p>
      <w:pPr>
        <w:pStyle w:val="Heading1"/>
      </w:pPr>
      <w:r>
        <w:t>Status by chapter</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737"/>
        <w:gridCol w:w="1871"/>
        <w:gridCol w:w="2041"/>
        <w:gridCol w:w="2721"/>
        <w:gridCol w:w="1656"/>
      </w:tblGrid>
      <w:tr>
        <w:trPr>
          <w:cantSplit/>
          <w:tblHeader/>
        </w:trPr>
        <w:tc>
          <w:tcPr>
            <w:tcW w:w="737"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Ch.</w:t>
            </w:r>
          </w:p>
        </w:tc>
        <w:tc>
          <w:tcPr>
            <w:tcW w:w="1871"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Subject</w:t>
            </w:r>
          </w:p>
        </w:tc>
        <w:tc>
          <w:tcPr>
            <w:tcW w:w="2041"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Owner</w:t>
            </w:r>
          </w:p>
        </w:tc>
        <w:tc>
          <w:tcPr>
            <w:tcW w:w="2721"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Status</w:t>
            </w:r>
          </w:p>
        </w:tc>
        <w:tc>
          <w:tcPr>
            <w:tcW w:w="1656"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Support letter</w:t>
            </w:r>
          </w:p>
        </w:tc>
      </w:tr>
      <w:tr>
        <w:trPr>
          <w:cantSplit/>
        </w:trPr>
        <w:tc>
          <w:tcPr>
            <w:tcW w:w="737" w:type="dxa"/>
            <w:vAlign w:val="center"/>
          </w:tcPr>
          <w:p>
            <w:pPr>
              <w:spacing w:before="0" w:after="0" w:line="240" w:lineRule="auto"/>
              <w:jc w:val="left"/>
            </w:pPr>
            <w:r>
              <w:rPr>
                <w:rFonts w:ascii="Times New Roman" w:hAnsi="Times New Roman" w:cs="Times New Roman"/>
                <w:sz w:val="22"/>
                <w:szCs w:val="22"/>
              </w:rPr>
              <w:t>1</w:t>
            </w:r>
          </w:p>
        </w:tc>
        <w:tc>
          <w:tcPr>
            <w:tcW w:w="1871" w:type="dxa"/>
            <w:vAlign w:val="center"/>
          </w:tcPr>
          <w:p>
            <w:pPr>
              <w:spacing w:before="0" w:after="0" w:line="240" w:lineRule="auto"/>
              <w:jc w:val="left"/>
            </w:pPr>
            <w:r>
              <w:rPr>
                <w:rFonts w:ascii="Times New Roman" w:hAnsi="Times New Roman" w:cs="Times New Roman"/>
                <w:sz w:val="22"/>
                <w:szCs w:val="22"/>
              </w:rPr>
              <w:t>Introduction</w:t>
            </w:r>
          </w:p>
        </w:tc>
        <w:tc>
          <w:tcPr>
            <w:tcW w:w="2041" w:type="dxa"/>
            <w:vAlign w:val="center"/>
          </w:tcPr>
          <w:p>
            <w:pPr>
              <w:spacing w:before="0" w:after="0" w:line="240" w:lineRule="auto"/>
              <w:jc w:val="left"/>
            </w:pPr>
            <w:r>
              <w:rPr>
                <w:rFonts w:ascii="Times New Roman" w:hAnsi="Times New Roman" w:cs="Times New Roman"/>
                <w:sz w:val="22"/>
                <w:szCs w:val="22"/>
              </w:rPr>
              <w:t>editors; §1.1.2 A. Jaatinen-Värri</w:t>
            </w:r>
          </w:p>
        </w:tc>
        <w:tc>
          <w:tcPr>
            <w:tcW w:w="2721" w:type="dxa"/>
            <w:vAlign w:val="center"/>
          </w:tcPr>
          <w:p>
            <w:pPr>
              <w:spacing w:before="0" w:after="0" w:line="240" w:lineRule="auto"/>
              <w:jc w:val="left"/>
            </w:pPr>
            <w:r>
              <w:rPr>
                <w:rFonts w:ascii="Times New Roman" w:hAnsi="Times New Roman" w:cs="Times New Roman"/>
                <w:sz w:val="22"/>
                <w:szCs w:val="22"/>
              </w:rPr>
              <w:t>written; house style done; five items to fold in</w:t>
            </w:r>
          </w:p>
        </w:tc>
        <w:tc>
          <w:tcPr>
            <w:tcW w:w="1656" w:type="dxa"/>
            <w:vAlign w:val="center"/>
          </w:tcPr>
          <w:p>
            <w:pPr>
              <w:spacing w:before="0" w:after="0" w:line="240" w:lineRule="auto"/>
              <w:jc w:val="left"/>
            </w:pPr>
            <w:r>
              <w:rPr>
                <w:rFonts w:ascii="Times New Roman" w:hAnsi="Times New Roman" w:cs="Times New Roman"/>
                <w:sz w:val="22"/>
                <w:szCs w:val="22"/>
              </w:rPr>
              <w:t>—</w:t>
            </w:r>
          </w:p>
        </w:tc>
      </w:tr>
      <w:tr>
        <w:trPr>
          <w:cantSplit/>
        </w:trPr>
        <w:tc>
          <w:tcPr>
            <w:tcW w:w="737" w:type="dxa"/>
            <w:vAlign w:val="center"/>
          </w:tcPr>
          <w:p>
            <w:pPr>
              <w:spacing w:before="0" w:after="0" w:line="240" w:lineRule="auto"/>
              <w:jc w:val="left"/>
            </w:pPr>
            <w:r>
              <w:rPr>
                <w:rFonts w:ascii="Times New Roman" w:hAnsi="Times New Roman" w:cs="Times New Roman"/>
                <w:sz w:val="22"/>
                <w:szCs w:val="22"/>
              </w:rPr>
              <w:t>2</w:t>
            </w:r>
          </w:p>
        </w:tc>
        <w:tc>
          <w:tcPr>
            <w:tcW w:w="1871" w:type="dxa"/>
            <w:vAlign w:val="center"/>
          </w:tcPr>
          <w:p>
            <w:pPr>
              <w:spacing w:before="0" w:after="0" w:line="240" w:lineRule="auto"/>
              <w:jc w:val="left"/>
            </w:pPr>
            <w:r>
              <w:rPr>
                <w:rFonts w:ascii="Times New Roman" w:hAnsi="Times New Roman" w:cs="Times New Roman"/>
                <w:sz w:val="22"/>
                <w:szCs w:val="22"/>
              </w:rPr>
              <w:t>Applications</w:t>
            </w:r>
          </w:p>
        </w:tc>
        <w:tc>
          <w:tcPr>
            <w:tcW w:w="2041" w:type="dxa"/>
            <w:vAlign w:val="center"/>
          </w:tcPr>
          <w:p>
            <w:pPr>
              <w:spacing w:before="0" w:after="0" w:line="240" w:lineRule="auto"/>
              <w:jc w:val="left"/>
            </w:pPr>
            <w:r>
              <w:rPr>
                <w:rFonts w:ascii="Times New Roman" w:hAnsi="Times New Roman" w:cs="Times New Roman"/>
                <w:sz w:val="22"/>
                <w:szCs w:val="22"/>
              </w:rPr>
              <w:t>J. Saari, Upheat Solutions</w:t>
            </w:r>
          </w:p>
        </w:tc>
        <w:tc>
          <w:tcPr>
            <w:tcW w:w="2721" w:type="dxa"/>
            <w:vAlign w:val="center"/>
          </w:tcPr>
          <w:p>
            <w:pPr>
              <w:spacing w:before="0" w:after="0" w:line="240" w:lineRule="auto"/>
              <w:jc w:val="left"/>
            </w:pPr>
            <w:r>
              <w:rPr>
                <w:rFonts w:ascii="Times New Roman" w:hAnsi="Times New Roman" w:cs="Times New Roman"/>
                <w:sz w:val="22"/>
                <w:szCs w:val="22"/>
              </w:rPr>
              <w:t>accepted; waiting for the detailed section structure</w:t>
            </w:r>
          </w:p>
        </w:tc>
        <w:tc>
          <w:tcPr>
            <w:tcW w:w="1656" w:type="dxa"/>
            <w:vAlign w:val="center"/>
          </w:tcPr>
          <w:p>
            <w:pPr>
              <w:spacing w:before="0" w:after="0" w:line="240" w:lineRule="auto"/>
              <w:jc w:val="left"/>
            </w:pPr>
            <w:r>
              <w:rPr>
                <w:rFonts w:ascii="Times New Roman" w:hAnsi="Times New Roman" w:cs="Times New Roman"/>
                <w:sz w:val="22"/>
                <w:szCs w:val="22"/>
              </w:rPr>
              <w:t>received 21 Sep</w:t>
            </w:r>
          </w:p>
        </w:tc>
      </w:tr>
      <w:tr>
        <w:trPr>
          <w:cantSplit/>
        </w:trPr>
        <w:tc>
          <w:tcPr>
            <w:tcW w:w="737" w:type="dxa"/>
            <w:vAlign w:val="center"/>
          </w:tcPr>
          <w:p>
            <w:pPr>
              <w:spacing w:before="0" w:after="0" w:line="240" w:lineRule="auto"/>
              <w:jc w:val="left"/>
            </w:pPr>
            <w:r>
              <w:rPr>
                <w:rFonts w:ascii="Times New Roman" w:hAnsi="Times New Roman" w:cs="Times New Roman"/>
                <w:sz w:val="22"/>
                <w:szCs w:val="22"/>
              </w:rPr>
              <w:t>3</w:t>
            </w:r>
          </w:p>
        </w:tc>
        <w:tc>
          <w:tcPr>
            <w:tcW w:w="1871" w:type="dxa"/>
            <w:vAlign w:val="center"/>
          </w:tcPr>
          <w:p>
            <w:pPr>
              <w:spacing w:before="0" w:after="0" w:line="240" w:lineRule="auto"/>
              <w:jc w:val="left"/>
            </w:pPr>
            <w:r>
              <w:rPr>
                <w:rFonts w:ascii="Times New Roman" w:hAnsi="Times New Roman" w:cs="Times New Roman"/>
                <w:sz w:val="22"/>
                <w:szCs w:val="22"/>
              </w:rPr>
              <w:t>Topologies</w:t>
            </w:r>
          </w:p>
        </w:tc>
        <w:tc>
          <w:tcPr>
            <w:tcW w:w="2041" w:type="dxa"/>
            <w:vAlign w:val="center"/>
          </w:tcPr>
          <w:p>
            <w:pPr>
              <w:spacing w:before="0" w:after="0" w:line="240" w:lineRule="auto"/>
              <w:jc w:val="left"/>
            </w:pPr>
            <w:r>
              <w:rPr>
                <w:rFonts w:ascii="Times New Roman" w:hAnsi="Times New Roman" w:cs="Times New Roman"/>
                <w:sz w:val="22"/>
                <w:szCs w:val="22"/>
              </w:rPr>
              <w:t>editors; J. Ikäheimo for §3.2–3.3</w:t>
            </w:r>
          </w:p>
        </w:tc>
        <w:tc>
          <w:tcPr>
            <w:tcW w:w="2721" w:type="dxa"/>
            <w:vAlign w:val="center"/>
          </w:tcPr>
          <w:p>
            <w:pPr>
              <w:spacing w:before="0" w:after="0" w:line="240" w:lineRule="auto"/>
              <w:jc w:val="left"/>
            </w:pPr>
            <w:r>
              <w:rPr>
                <w:rFonts w:ascii="Times New Roman" w:hAnsi="Times New Roman" w:cs="Times New Roman"/>
                <w:sz w:val="22"/>
                <w:szCs w:val="22"/>
              </w:rPr>
              <w:t>Ikäheimo in writing; ABB's agreement for photographs still to ask</w:t>
            </w:r>
          </w:p>
        </w:tc>
        <w:tc>
          <w:tcPr>
            <w:tcW w:w="1656" w:type="dxa"/>
            <w:vAlign w:val="center"/>
          </w:tcPr>
          <w:p>
            <w:pPr>
              <w:spacing w:before="0" w:after="0" w:line="240" w:lineRule="auto"/>
              <w:jc w:val="left"/>
            </w:pPr>
            <w:r>
              <w:rPr>
                <w:rFonts w:ascii="Times New Roman" w:hAnsi="Times New Roman" w:cs="Times New Roman"/>
                <w:sz w:val="22"/>
                <w:szCs w:val="22"/>
              </w:rPr>
              <w:t>received, scanned 5 Oct</w:t>
            </w:r>
          </w:p>
        </w:tc>
      </w:tr>
      <w:tr>
        <w:trPr>
          <w:cantSplit/>
        </w:trPr>
        <w:tc>
          <w:tcPr>
            <w:tcW w:w="737" w:type="dxa"/>
            <w:vAlign w:val="center"/>
          </w:tcPr>
          <w:p>
            <w:pPr>
              <w:spacing w:before="0" w:after="0" w:line="240" w:lineRule="auto"/>
              <w:jc w:val="left"/>
            </w:pPr>
            <w:r>
              <w:rPr>
                <w:rFonts w:ascii="Times New Roman" w:hAnsi="Times New Roman" w:cs="Times New Roman"/>
                <w:sz w:val="22"/>
                <w:szCs w:val="22"/>
              </w:rPr>
              <w:t>4–6</w:t>
            </w:r>
          </w:p>
        </w:tc>
        <w:tc>
          <w:tcPr>
            <w:tcW w:w="1871" w:type="dxa"/>
            <w:vAlign w:val="center"/>
          </w:tcPr>
          <w:p>
            <w:pPr>
              <w:spacing w:before="0" w:after="0" w:line="240" w:lineRule="auto"/>
              <w:jc w:val="left"/>
            </w:pPr>
            <w:r>
              <w:rPr>
                <w:rFonts w:ascii="Times New Roman" w:hAnsi="Times New Roman" w:cs="Times New Roman"/>
                <w:sz w:val="22"/>
                <w:szCs w:val="22"/>
              </w:rPr>
              <w:t>Rotor mechanics, rotordynamics, bearings</w:t>
            </w:r>
          </w:p>
        </w:tc>
        <w:tc>
          <w:tcPr>
            <w:tcW w:w="2041" w:type="dxa"/>
            <w:vAlign w:val="center"/>
          </w:tcPr>
          <w:p>
            <w:pPr>
              <w:spacing w:before="0" w:after="0" w:line="240" w:lineRule="auto"/>
              <w:jc w:val="left"/>
            </w:pPr>
            <w:r>
              <w:rPr>
                <w:rFonts w:ascii="Times New Roman" w:hAnsi="Times New Roman" w:cs="Times New Roman"/>
                <w:sz w:val="22"/>
                <w:szCs w:val="22"/>
              </w:rPr>
              <w:t>J. Sopanen</w:t>
            </w:r>
          </w:p>
        </w:tc>
        <w:tc>
          <w:tcPr>
            <w:tcW w:w="2721" w:type="dxa"/>
            <w:vAlign w:val="center"/>
          </w:tcPr>
          <w:p>
            <w:pPr>
              <w:spacing w:before="0" w:after="0" w:line="240" w:lineRule="auto"/>
              <w:jc w:val="left"/>
            </w:pPr>
            <w:r>
              <w:rPr>
                <w:rFonts w:ascii="Times New Roman" w:hAnsi="Times New Roman" w:cs="Times New Roman"/>
                <w:sz w:val="22"/>
                <w:szCs w:val="22"/>
              </w:rPr>
              <w:t>agreed in principle; invited 3 Sep; he names the bearing specialist</w:t>
            </w:r>
          </w:p>
        </w:tc>
        <w:tc>
          <w:tcPr>
            <w:tcW w:w="1656" w:type="dxa"/>
            <w:vAlign w:val="center"/>
          </w:tcPr>
          <w:p>
            <w:pPr>
              <w:spacing w:before="0" w:after="0" w:line="240" w:lineRule="auto"/>
              <w:jc w:val="left"/>
            </w:pPr>
            <w:r>
              <w:rPr>
                <w:rFonts w:ascii="Times New Roman" w:hAnsi="Times New Roman" w:cs="Times New Roman"/>
                <w:sz w:val="22"/>
                <w:szCs w:val="22"/>
              </w:rPr>
              <w:t>awaited</w:t>
            </w:r>
          </w:p>
        </w:tc>
      </w:tr>
      <w:tr>
        <w:trPr>
          <w:cantSplit/>
        </w:trPr>
        <w:tc>
          <w:tcPr>
            <w:tcW w:w="737" w:type="dxa"/>
            <w:vAlign w:val="center"/>
          </w:tcPr>
          <w:p>
            <w:pPr>
              <w:spacing w:before="0" w:after="0" w:line="240" w:lineRule="auto"/>
              <w:jc w:val="left"/>
            </w:pPr>
            <w:r>
              <w:rPr>
                <w:rFonts w:ascii="Times New Roman" w:hAnsi="Times New Roman" w:cs="Times New Roman"/>
                <w:sz w:val="22"/>
                <w:szCs w:val="22"/>
              </w:rPr>
              <w:t>7</w:t>
            </w:r>
          </w:p>
        </w:tc>
        <w:tc>
          <w:tcPr>
            <w:tcW w:w="1871" w:type="dxa"/>
            <w:vAlign w:val="center"/>
          </w:tcPr>
          <w:p>
            <w:pPr>
              <w:spacing w:before="0" w:after="0" w:line="240" w:lineRule="auto"/>
              <w:jc w:val="left"/>
            </w:pPr>
            <w:r>
              <w:rPr>
                <w:rFonts w:ascii="Times New Roman" w:hAnsi="Times New Roman" w:cs="Times New Roman"/>
                <w:sz w:val="22"/>
                <w:szCs w:val="22"/>
              </w:rPr>
              <w:t>Sizing</w:t>
            </w:r>
          </w:p>
        </w:tc>
        <w:tc>
          <w:tcPr>
            <w:tcW w:w="2041" w:type="dxa"/>
            <w:vAlign w:val="center"/>
          </w:tcPr>
          <w:p>
            <w:pPr>
              <w:spacing w:before="0" w:after="0" w:line="240" w:lineRule="auto"/>
              <w:jc w:val="left"/>
            </w:pPr>
            <w:r>
              <w:rPr>
                <w:rFonts w:ascii="Times New Roman" w:hAnsi="Times New Roman" w:cs="Times New Roman"/>
                <w:sz w:val="22"/>
                <w:szCs w:val="22"/>
              </w:rPr>
              <w:t>editors</w:t>
            </w:r>
          </w:p>
        </w:tc>
        <w:tc>
          <w:tcPr>
            <w:tcW w:w="2721" w:type="dxa"/>
            <w:vAlign w:val="center"/>
          </w:tcPr>
          <w:p>
            <w:pPr>
              <w:spacing w:before="0" w:after="0" w:line="240" w:lineRule="auto"/>
              <w:jc w:val="left"/>
            </w:pPr>
            <w:r>
              <w:rPr>
                <w:rFonts w:ascii="Times New Roman" w:hAnsi="Times New Roman" w:cs="Times New Roman"/>
                <w:sz w:val="22"/>
                <w:szCs w:val="22"/>
              </w:rPr>
              <w:t>partial chapter promised in the package</w:t>
            </w:r>
          </w:p>
        </w:tc>
        <w:tc>
          <w:tcPr>
            <w:tcW w:w="1656" w:type="dxa"/>
            <w:vAlign w:val="center"/>
          </w:tcPr>
          <w:p>
            <w:pPr>
              <w:spacing w:before="0" w:after="0" w:line="240" w:lineRule="auto"/>
              <w:jc w:val="left"/>
            </w:pPr>
            <w:r>
              <w:rPr>
                <w:rFonts w:ascii="Times New Roman" w:hAnsi="Times New Roman" w:cs="Times New Roman"/>
                <w:sz w:val="22"/>
                <w:szCs w:val="22"/>
              </w:rPr>
              <w:t>—</w:t>
            </w:r>
          </w:p>
        </w:tc>
      </w:tr>
      <w:tr>
        <w:trPr>
          <w:cantSplit/>
        </w:trPr>
        <w:tc>
          <w:tcPr>
            <w:tcW w:w="737" w:type="dxa"/>
            <w:vAlign w:val="center"/>
          </w:tcPr>
          <w:p>
            <w:pPr>
              <w:spacing w:before="0" w:after="0" w:line="240" w:lineRule="auto"/>
              <w:jc w:val="left"/>
            </w:pPr>
            <w:r>
              <w:rPr>
                <w:rFonts w:ascii="Times New Roman" w:hAnsi="Times New Roman" w:cs="Times New Roman"/>
                <w:sz w:val="22"/>
                <w:szCs w:val="22"/>
              </w:rPr>
              <w:t>8</w:t>
            </w:r>
          </w:p>
        </w:tc>
        <w:tc>
          <w:tcPr>
            <w:tcW w:w="1871" w:type="dxa"/>
            <w:vAlign w:val="center"/>
          </w:tcPr>
          <w:p>
            <w:pPr>
              <w:spacing w:before="0" w:after="0" w:line="240" w:lineRule="auto"/>
              <w:jc w:val="left"/>
            </w:pPr>
            <w:r>
              <w:rPr>
                <w:rFonts w:ascii="Times New Roman" w:hAnsi="Times New Roman" w:cs="Times New Roman"/>
                <w:sz w:val="22"/>
                <w:szCs w:val="22"/>
              </w:rPr>
              <w:t>Winding losses</w:t>
            </w:r>
          </w:p>
        </w:tc>
        <w:tc>
          <w:tcPr>
            <w:tcW w:w="2041" w:type="dxa"/>
            <w:vAlign w:val="center"/>
          </w:tcPr>
          <w:p>
            <w:pPr>
              <w:spacing w:before="0" w:after="0" w:line="240" w:lineRule="auto"/>
              <w:jc w:val="left"/>
            </w:pPr>
            <w:r>
              <w:rPr>
                <w:rFonts w:ascii="Times New Roman" w:hAnsi="Times New Roman" w:cs="Times New Roman"/>
                <w:sz w:val="22"/>
                <w:szCs w:val="22"/>
              </w:rPr>
              <w:t>A. Belahcen</w:t>
            </w:r>
          </w:p>
        </w:tc>
        <w:tc>
          <w:tcPr>
            <w:tcW w:w="2721" w:type="dxa"/>
            <w:vAlign w:val="center"/>
          </w:tcPr>
          <w:p>
            <w:pPr>
              <w:spacing w:before="0" w:after="0" w:line="240" w:lineRule="auto"/>
              <w:jc w:val="left"/>
            </w:pPr>
            <w:r>
              <w:rPr>
                <w:rFonts w:ascii="Times New Roman" w:hAnsi="Times New Roman" w:cs="Times New Roman"/>
                <w:sz w:val="22"/>
                <w:szCs w:val="22"/>
              </w:rPr>
              <w:t>in writing</w:t>
            </w:r>
          </w:p>
        </w:tc>
        <w:tc>
          <w:tcPr>
            <w:tcW w:w="1656" w:type="dxa"/>
            <w:vAlign w:val="center"/>
          </w:tcPr>
          <w:p>
            <w:pPr>
              <w:spacing w:before="0" w:after="0" w:line="240" w:lineRule="auto"/>
              <w:jc w:val="left"/>
            </w:pPr>
            <w:r>
              <w:rPr>
                <w:rFonts w:ascii="Times New Roman" w:hAnsi="Times New Roman" w:cs="Times New Roman"/>
                <w:sz w:val="22"/>
                <w:szCs w:val="22"/>
              </w:rPr>
              <w:t>received 3 Sep; names both loss chapters</w:t>
            </w:r>
          </w:p>
        </w:tc>
      </w:tr>
      <w:tr>
        <w:trPr>
          <w:cantSplit/>
        </w:trPr>
        <w:tc>
          <w:tcPr>
            <w:tcW w:w="737" w:type="dxa"/>
            <w:vAlign w:val="center"/>
          </w:tcPr>
          <w:p>
            <w:pPr>
              <w:spacing w:before="0" w:after="0" w:line="240" w:lineRule="auto"/>
              <w:jc w:val="left"/>
            </w:pPr>
            <w:r>
              <w:rPr>
                <w:rFonts w:ascii="Times New Roman" w:hAnsi="Times New Roman" w:cs="Times New Roman"/>
                <w:sz w:val="22"/>
                <w:szCs w:val="22"/>
              </w:rPr>
              <w:t>9</w:t>
            </w:r>
          </w:p>
        </w:tc>
        <w:tc>
          <w:tcPr>
            <w:tcW w:w="1871" w:type="dxa"/>
            <w:vAlign w:val="center"/>
          </w:tcPr>
          <w:p>
            <w:pPr>
              <w:spacing w:before="0" w:after="0" w:line="240" w:lineRule="auto"/>
              <w:jc w:val="left"/>
            </w:pPr>
            <w:r>
              <w:rPr>
                <w:rFonts w:ascii="Times New Roman" w:hAnsi="Times New Roman" w:cs="Times New Roman"/>
                <w:sz w:val="22"/>
                <w:szCs w:val="22"/>
              </w:rPr>
              <w:t>Core, rotor and aerodynamic losses</w:t>
            </w:r>
          </w:p>
        </w:tc>
        <w:tc>
          <w:tcPr>
            <w:tcW w:w="2041" w:type="dxa"/>
            <w:vAlign w:val="center"/>
          </w:tcPr>
          <w:p>
            <w:pPr>
              <w:spacing w:before="0" w:after="0" w:line="240" w:lineRule="auto"/>
              <w:jc w:val="left"/>
            </w:pPr>
            <w:r>
              <w:rPr>
                <w:rFonts w:ascii="Times New Roman" w:hAnsi="Times New Roman" w:cs="Times New Roman"/>
                <w:sz w:val="22"/>
                <w:szCs w:val="22"/>
              </w:rPr>
              <w:t>open: decide today</w:t>
            </w:r>
          </w:p>
        </w:tc>
        <w:tc>
          <w:tcPr>
            <w:tcW w:w="2721" w:type="dxa"/>
            <w:vAlign w:val="center"/>
          </w:tcPr>
          <w:p>
            <w:pPr>
              <w:spacing w:before="0" w:after="0" w:line="240" w:lineRule="auto"/>
              <w:jc w:val="left"/>
            </w:pPr>
            <w:r>
              <w:rPr>
                <w:rFonts w:ascii="Times New Roman" w:hAnsi="Times New Roman" w:cs="Times New Roman"/>
                <w:sz w:val="22"/>
                <w:szCs w:val="22"/>
              </w:rPr>
              <w:t>Rasilo declined 20 Sep; not yet discussed with Belahcen</w:t>
            </w:r>
          </w:p>
        </w:tc>
        <w:tc>
          <w:tcPr>
            <w:tcW w:w="1656" w:type="dxa"/>
            <w:vAlign w:val="center"/>
          </w:tcPr>
          <w:p>
            <w:pPr>
              <w:spacing w:before="0" w:after="0" w:line="240" w:lineRule="auto"/>
              <w:jc w:val="left"/>
            </w:pPr>
            <w:r>
              <w:rPr>
                <w:rFonts w:ascii="Times New Roman" w:hAnsi="Times New Roman" w:cs="Times New Roman"/>
                <w:sz w:val="22"/>
                <w:szCs w:val="22"/>
              </w:rPr>
              <w:t>—</w:t>
            </w:r>
          </w:p>
        </w:tc>
      </w:tr>
      <w:tr>
        <w:trPr>
          <w:cantSplit/>
        </w:trPr>
        <w:tc>
          <w:tcPr>
            <w:tcW w:w="737" w:type="dxa"/>
            <w:vAlign w:val="center"/>
          </w:tcPr>
          <w:p>
            <w:pPr>
              <w:spacing w:before="0" w:after="0" w:line="240" w:lineRule="auto"/>
              <w:jc w:val="left"/>
            </w:pPr>
            <w:r>
              <w:rPr>
                <w:rFonts w:ascii="Times New Roman" w:hAnsi="Times New Roman" w:cs="Times New Roman"/>
                <w:sz w:val="22"/>
                <w:szCs w:val="22"/>
              </w:rPr>
              <w:t>10</w:t>
            </w:r>
          </w:p>
        </w:tc>
        <w:tc>
          <w:tcPr>
            <w:tcW w:w="1871" w:type="dxa"/>
            <w:vAlign w:val="center"/>
          </w:tcPr>
          <w:p>
            <w:pPr>
              <w:spacing w:before="0" w:after="0" w:line="240" w:lineRule="auto"/>
              <w:jc w:val="left"/>
            </w:pPr>
            <w:r>
              <w:rPr>
                <w:rFonts w:ascii="Times New Roman" w:hAnsi="Times New Roman" w:cs="Times New Roman"/>
                <w:sz w:val="22"/>
                <w:szCs w:val="22"/>
              </w:rPr>
              <w:t>Thermal</w:t>
            </w:r>
          </w:p>
        </w:tc>
        <w:tc>
          <w:tcPr>
            <w:tcW w:w="2041" w:type="dxa"/>
            <w:vAlign w:val="center"/>
          </w:tcPr>
          <w:p>
            <w:pPr>
              <w:spacing w:before="0" w:after="0" w:line="240" w:lineRule="auto"/>
              <w:jc w:val="left"/>
            </w:pPr>
            <w:r>
              <w:rPr>
                <w:rFonts w:ascii="Times New Roman" w:hAnsi="Times New Roman" w:cs="Times New Roman"/>
                <w:sz w:val="22"/>
                <w:szCs w:val="22"/>
              </w:rPr>
              <w:t>R. Wróbel, independent consultant</w:t>
            </w:r>
          </w:p>
        </w:tc>
        <w:tc>
          <w:tcPr>
            <w:tcW w:w="2721" w:type="dxa"/>
            <w:vAlign w:val="center"/>
          </w:tcPr>
          <w:p>
            <w:pPr>
              <w:spacing w:before="0" w:after="0" w:line="240" w:lineRule="auto"/>
              <w:jc w:val="left"/>
            </w:pPr>
            <w:r>
              <w:rPr>
                <w:rFonts w:ascii="Times New Roman" w:hAnsi="Times New Roman" w:cs="Times New Roman"/>
                <w:sz w:val="22"/>
                <w:szCs w:val="22"/>
              </w:rPr>
              <w:t>accepted</w:t>
            </w:r>
          </w:p>
        </w:tc>
        <w:tc>
          <w:tcPr>
            <w:tcW w:w="1656" w:type="dxa"/>
            <w:vAlign w:val="center"/>
          </w:tcPr>
          <w:p>
            <w:pPr>
              <w:spacing w:before="0" w:after="0" w:line="240" w:lineRule="auto"/>
              <w:jc w:val="left"/>
            </w:pPr>
            <w:r>
              <w:rPr>
                <w:rFonts w:ascii="Times New Roman" w:hAnsi="Times New Roman" w:cs="Times New Roman"/>
                <w:sz w:val="22"/>
                <w:szCs w:val="22"/>
              </w:rPr>
              <w:t>received 21 Sep; unsigned, email line unfilled</w:t>
            </w:r>
          </w:p>
        </w:tc>
      </w:tr>
      <w:tr>
        <w:trPr>
          <w:cantSplit/>
        </w:trPr>
        <w:tc>
          <w:tcPr>
            <w:tcW w:w="737" w:type="dxa"/>
            <w:vAlign w:val="center"/>
          </w:tcPr>
          <w:p>
            <w:pPr>
              <w:spacing w:before="0" w:after="0" w:line="240" w:lineRule="auto"/>
              <w:jc w:val="left"/>
            </w:pPr>
            <w:r>
              <w:rPr>
                <w:rFonts w:ascii="Times New Roman" w:hAnsi="Times New Roman" w:cs="Times New Roman"/>
                <w:sz w:val="22"/>
                <w:szCs w:val="22"/>
              </w:rPr>
              <w:t>11</w:t>
            </w:r>
          </w:p>
        </w:tc>
        <w:tc>
          <w:tcPr>
            <w:tcW w:w="1871" w:type="dxa"/>
            <w:vAlign w:val="center"/>
          </w:tcPr>
          <w:p>
            <w:pPr>
              <w:spacing w:before="0" w:after="0" w:line="240" w:lineRule="auto"/>
              <w:jc w:val="left"/>
            </w:pPr>
            <w:r>
              <w:rPr>
                <w:rFonts w:ascii="Times New Roman" w:hAnsi="Times New Roman" w:cs="Times New Roman"/>
                <w:sz w:val="22"/>
                <w:szCs w:val="22"/>
              </w:rPr>
              <w:t>Converter</w:t>
            </w:r>
          </w:p>
        </w:tc>
        <w:tc>
          <w:tcPr>
            <w:tcW w:w="2041" w:type="dxa"/>
            <w:vAlign w:val="center"/>
          </w:tcPr>
          <w:p>
            <w:pPr>
              <w:spacing w:before="0" w:after="0" w:line="240" w:lineRule="auto"/>
              <w:jc w:val="left"/>
            </w:pPr>
            <w:r>
              <w:rPr>
                <w:rFonts w:ascii="Times New Roman" w:hAnsi="Times New Roman" w:cs="Times New Roman"/>
                <w:sz w:val="22"/>
                <w:szCs w:val="22"/>
              </w:rPr>
              <w:t>P. Peltoniemi</w:t>
            </w:r>
          </w:p>
        </w:tc>
        <w:tc>
          <w:tcPr>
            <w:tcW w:w="2721" w:type="dxa"/>
            <w:vAlign w:val="center"/>
          </w:tcPr>
          <w:p>
            <w:pPr>
              <w:spacing w:before="0" w:after="0" w:line="240" w:lineRule="auto"/>
              <w:jc w:val="left"/>
            </w:pPr>
            <w:r>
              <w:rPr>
                <w:rFonts w:ascii="Times New Roman" w:hAnsi="Times New Roman" w:cs="Times New Roman"/>
                <w:sz w:val="22"/>
                <w:szCs w:val="22"/>
              </w:rPr>
              <w:t>accepted; Aarniovuori on §11.2</w:t>
            </w:r>
          </w:p>
        </w:tc>
        <w:tc>
          <w:tcPr>
            <w:tcW w:w="1656" w:type="dxa"/>
            <w:vAlign w:val="center"/>
          </w:tcPr>
          <w:p>
            <w:pPr>
              <w:spacing w:before="0" w:after="0" w:line="240" w:lineRule="auto"/>
              <w:jc w:val="left"/>
            </w:pPr>
            <w:r>
              <w:rPr>
                <w:rFonts w:ascii="Times New Roman" w:hAnsi="Times New Roman" w:cs="Times New Roman"/>
                <w:sz w:val="22"/>
                <w:szCs w:val="22"/>
              </w:rPr>
              <w:t>received 22 Sep; Aarniovuori's scanned 7 Sep</w:t>
            </w:r>
          </w:p>
        </w:tc>
      </w:tr>
      <w:tr>
        <w:trPr>
          <w:cantSplit/>
        </w:trPr>
        <w:tc>
          <w:tcPr>
            <w:tcW w:w="737" w:type="dxa"/>
            <w:vAlign w:val="center"/>
          </w:tcPr>
          <w:p>
            <w:pPr>
              <w:spacing w:before="0" w:after="0" w:line="240" w:lineRule="auto"/>
              <w:jc w:val="left"/>
            </w:pPr>
            <w:r>
              <w:rPr>
                <w:rFonts w:ascii="Times New Roman" w:hAnsi="Times New Roman" w:cs="Times New Roman"/>
                <w:sz w:val="22"/>
                <w:szCs w:val="22"/>
              </w:rPr>
              <w:t>12</w:t>
            </w:r>
          </w:p>
        </w:tc>
        <w:tc>
          <w:tcPr>
            <w:tcW w:w="1871" w:type="dxa"/>
            <w:vAlign w:val="center"/>
          </w:tcPr>
          <w:p>
            <w:pPr>
              <w:spacing w:before="0" w:after="0" w:line="240" w:lineRule="auto"/>
              <w:jc w:val="left"/>
            </w:pPr>
            <w:r>
              <w:rPr>
                <w:rFonts w:ascii="Times New Roman" w:hAnsi="Times New Roman" w:cs="Times New Roman"/>
                <w:sz w:val="22"/>
                <w:szCs w:val="22"/>
              </w:rPr>
              <w:t>Control</w:t>
            </w:r>
          </w:p>
        </w:tc>
        <w:tc>
          <w:tcPr>
            <w:tcW w:w="2041" w:type="dxa"/>
            <w:vAlign w:val="center"/>
          </w:tcPr>
          <w:p>
            <w:pPr>
              <w:spacing w:before="0" w:after="0" w:line="240" w:lineRule="auto"/>
              <w:jc w:val="left"/>
            </w:pPr>
            <w:r>
              <w:rPr>
                <w:rFonts w:ascii="Times New Roman" w:hAnsi="Times New Roman" w:cs="Times New Roman"/>
                <w:sz w:val="22"/>
                <w:szCs w:val="22"/>
              </w:rPr>
              <w:t>M. Hinkkanen</w:t>
            </w:r>
          </w:p>
        </w:tc>
        <w:tc>
          <w:tcPr>
            <w:tcW w:w="2721" w:type="dxa"/>
            <w:vAlign w:val="center"/>
          </w:tcPr>
          <w:p>
            <w:pPr>
              <w:spacing w:before="0" w:after="0" w:line="240" w:lineRule="auto"/>
              <w:jc w:val="left"/>
            </w:pPr>
            <w:r>
              <w:rPr>
                <w:rFonts w:ascii="Times New Roman" w:hAnsi="Times New Roman" w:cs="Times New Roman"/>
                <w:sz w:val="22"/>
                <w:szCs w:val="22"/>
              </w:rPr>
              <w:t>invited 4 Sep, for the control side of the drive chapter; no reply</w:t>
            </w:r>
          </w:p>
        </w:tc>
        <w:tc>
          <w:tcPr>
            <w:tcW w:w="1656" w:type="dxa"/>
            <w:vAlign w:val="center"/>
          </w:tcPr>
          <w:p>
            <w:pPr>
              <w:spacing w:before="0" w:after="0" w:line="240" w:lineRule="auto"/>
              <w:jc w:val="left"/>
            </w:pPr>
            <w:r>
              <w:rPr>
                <w:rFonts w:ascii="Times New Roman" w:hAnsi="Times New Roman" w:cs="Times New Roman"/>
                <w:sz w:val="22"/>
                <w:szCs w:val="22"/>
              </w:rPr>
              <w:t>after he says yes; draft needs fixing</w:t>
            </w:r>
          </w:p>
        </w:tc>
      </w:tr>
      <w:tr>
        <w:trPr>
          <w:cantSplit/>
        </w:trPr>
        <w:tc>
          <w:tcPr>
            <w:tcW w:w="737" w:type="dxa"/>
            <w:vAlign w:val="center"/>
          </w:tcPr>
          <w:p>
            <w:pPr>
              <w:spacing w:before="0" w:after="0" w:line="240" w:lineRule="auto"/>
              <w:jc w:val="left"/>
            </w:pPr>
            <w:r>
              <w:rPr>
                <w:rFonts w:ascii="Times New Roman" w:hAnsi="Times New Roman" w:cs="Times New Roman"/>
                <w:sz w:val="22"/>
                <w:szCs w:val="22"/>
              </w:rPr>
              <w:t>13</w:t>
            </w:r>
          </w:p>
        </w:tc>
        <w:tc>
          <w:tcPr>
            <w:tcW w:w="1871" w:type="dxa"/>
            <w:vAlign w:val="center"/>
          </w:tcPr>
          <w:p>
            <w:pPr>
              <w:spacing w:before="0" w:after="0" w:line="240" w:lineRule="auto"/>
              <w:jc w:val="left"/>
            </w:pPr>
            <w:r>
              <w:rPr>
                <w:rFonts w:ascii="Times New Roman" w:hAnsi="Times New Roman" w:cs="Times New Roman"/>
                <w:sz w:val="22"/>
                <w:szCs w:val="22"/>
              </w:rPr>
              <w:t>Industrial case studies</w:t>
            </w:r>
          </w:p>
        </w:tc>
        <w:tc>
          <w:tcPr>
            <w:tcW w:w="2041" w:type="dxa"/>
            <w:vAlign w:val="center"/>
          </w:tcPr>
          <w:p>
            <w:pPr>
              <w:spacing w:before="0" w:after="0" w:line="240" w:lineRule="auto"/>
              <w:jc w:val="left"/>
            </w:pPr>
            <w:r>
              <w:rPr>
                <w:rFonts w:ascii="Times New Roman" w:hAnsi="Times New Roman" w:cs="Times New Roman"/>
                <w:sz w:val="22"/>
                <w:szCs w:val="22"/>
              </w:rPr>
              <w:t>J. Tiainen and A. Jaatinen-Värri</w:t>
            </w:r>
          </w:p>
        </w:tc>
        <w:tc>
          <w:tcPr>
            <w:tcW w:w="2721" w:type="dxa"/>
            <w:vAlign w:val="center"/>
          </w:tcPr>
          <w:p>
            <w:pPr>
              <w:spacing w:before="0" w:after="0" w:line="240" w:lineRule="auto"/>
              <w:jc w:val="left"/>
            </w:pPr>
            <w:r>
              <w:rPr>
                <w:rFonts w:ascii="Times New Roman" w:hAnsi="Times New Roman" w:cs="Times New Roman"/>
                <w:sz w:val="22"/>
                <w:szCs w:val="22"/>
              </w:rPr>
              <w:t>invited with Chapter 1 and the table of contents; no answer recorded; §13.3 offered to Jonna, now in Ikäheimo's letter</w:t>
            </w:r>
          </w:p>
        </w:tc>
        <w:tc>
          <w:tcPr>
            <w:tcW w:w="1656" w:type="dxa"/>
            <w:vAlign w:val="center"/>
          </w:tcPr>
          <w:p>
            <w:pPr>
              <w:spacing w:before="0" w:after="0" w:line="240" w:lineRule="auto"/>
              <w:jc w:val="left"/>
            </w:pPr>
            <w:r>
              <w:rPr>
                <w:rFonts w:ascii="Times New Roman" w:hAnsi="Times New Roman" w:cs="Times New Roman"/>
                <w:sz w:val="22"/>
                <w:szCs w:val="22"/>
              </w:rPr>
              <w:t>drafted (Ahti)</w:t>
            </w:r>
          </w:p>
        </w:tc>
      </w:tr>
      <w:tr>
        <w:trPr>
          <w:cantSplit/>
        </w:trPr>
        <w:tc>
          <w:tcPr>
            <w:tcW w:w="737" w:type="dxa"/>
            <w:vAlign w:val="center"/>
          </w:tcPr>
          <w:p>
            <w:pPr>
              <w:spacing w:before="0" w:after="0" w:line="240" w:lineRule="auto"/>
              <w:jc w:val="left"/>
            </w:pPr>
            <w:r>
              <w:rPr>
                <w:rFonts w:ascii="Times New Roman" w:hAnsi="Times New Roman" w:cs="Times New Roman"/>
                <w:sz w:val="22"/>
                <w:szCs w:val="22"/>
              </w:rPr>
              <w:t>14</w:t>
            </w:r>
          </w:p>
        </w:tc>
        <w:tc>
          <w:tcPr>
            <w:tcW w:w="1871" w:type="dxa"/>
            <w:vAlign w:val="center"/>
          </w:tcPr>
          <w:p>
            <w:pPr>
              <w:spacing w:before="0" w:after="0" w:line="240" w:lineRule="auto"/>
              <w:jc w:val="left"/>
            </w:pPr>
            <w:r>
              <w:rPr>
                <w:rFonts w:ascii="Times New Roman" w:hAnsi="Times New Roman" w:cs="Times New Roman"/>
                <w:sz w:val="22"/>
                <w:szCs w:val="22"/>
              </w:rPr>
              <w:t>Mobile case studies</w:t>
            </w:r>
          </w:p>
        </w:tc>
        <w:tc>
          <w:tcPr>
            <w:tcW w:w="2041" w:type="dxa"/>
            <w:vAlign w:val="center"/>
          </w:tcPr>
          <w:p>
            <w:pPr>
              <w:spacing w:before="0" w:after="0" w:line="240" w:lineRule="auto"/>
              <w:jc w:val="left"/>
            </w:pPr>
            <w:r>
              <w:rPr>
                <w:rFonts w:ascii="Times New Roman" w:hAnsi="Times New Roman" w:cs="Times New Roman"/>
                <w:sz w:val="22"/>
                <w:szCs w:val="22"/>
              </w:rPr>
              <w:t>J. Pippuri-Mäkeläinen, VTT</w:t>
            </w:r>
          </w:p>
        </w:tc>
        <w:tc>
          <w:tcPr>
            <w:tcW w:w="2721" w:type="dxa"/>
            <w:vAlign w:val="center"/>
          </w:tcPr>
          <w:p>
            <w:pPr>
              <w:spacing w:before="0" w:after="0" w:line="240" w:lineRule="auto"/>
              <w:jc w:val="left"/>
            </w:pPr>
            <w:r>
              <w:rPr>
                <w:rFonts w:ascii="Times New Roman" w:hAnsi="Times New Roman" w:cs="Times New Roman"/>
                <w:sz w:val="22"/>
                <w:szCs w:val="22"/>
              </w:rPr>
              <w:t>invited; no answer recorded; Voltcar permission pending</w:t>
            </w:r>
          </w:p>
        </w:tc>
        <w:tc>
          <w:tcPr>
            <w:tcW w:w="1656" w:type="dxa"/>
            <w:vAlign w:val="center"/>
          </w:tcPr>
          <w:p>
            <w:pPr>
              <w:spacing w:before="0" w:after="0" w:line="240" w:lineRule="auto"/>
              <w:jc w:val="left"/>
            </w:pPr>
            <w:r>
              <w:rPr>
                <w:rFonts w:ascii="Times New Roman" w:hAnsi="Times New Roman" w:cs="Times New Roman"/>
                <w:sz w:val="22"/>
                <w:szCs w:val="22"/>
              </w:rPr>
              <w:t>drafted</w:t>
            </w:r>
          </w:p>
        </w:tc>
      </w:tr>
    </w:tbl>
    <w:p>
      <w:pPr>
        <w:spacing w:after="40"/>
      </w:pPr>
    </w:p>
    <w:p>
      <w:pPr>
        <w:pStyle w:val="Heading1"/>
      </w:pPr>
      <w:r>
        <w:t>Letters of support</w:t>
      </w:r>
    </w:p>
    <w:p>
      <w:pPr>
        <w:pStyle w:val="ListBullet"/>
        <w:spacing w:after="60"/>
      </w:pPr>
      <w:r>
        <w:rPr>
          <w:b/>
        </w:rPr>
        <w:t>Back, six:</w:t>
      </w:r>
    </w:p>
    <w:p>
      <w:pPr>
        <w:pStyle w:val="ListBullet2"/>
        <w:spacing w:after="60"/>
      </w:pPr>
      <w:r>
        <w:t>Saari, 21 Sep;</w:t>
      </w:r>
    </w:p>
    <w:p>
      <w:pPr>
        <w:pStyle w:val="ListBullet2"/>
        <w:spacing w:after="60"/>
      </w:pPr>
      <w:r>
        <w:t>Aarniovuori, scanned 7 Sep;</w:t>
      </w:r>
    </w:p>
    <w:p>
      <w:pPr>
        <w:pStyle w:val="ListBullet2"/>
        <w:spacing w:after="60"/>
      </w:pPr>
      <w:r>
        <w:t>Wróbel, 21 Sep;</w:t>
      </w:r>
    </w:p>
    <w:p>
      <w:pPr>
        <w:pStyle w:val="ListBullet2"/>
        <w:spacing w:after="60"/>
      </w:pPr>
      <w:r>
        <w:t>Peltoniemi, 22 Sep;</w:t>
      </w:r>
    </w:p>
    <w:p>
      <w:pPr>
        <w:pStyle w:val="ListBullet2"/>
        <w:spacing w:after="60"/>
      </w:pPr>
      <w:r>
        <w:t>Belahcen, 3 Sep;</w:t>
      </w:r>
    </w:p>
    <w:p>
      <w:pPr>
        <w:pStyle w:val="ListBullet2"/>
        <w:spacing w:after="60"/>
      </w:pPr>
      <w:r>
        <w:t>Ikäheimo, scanned 5 Oct.</w:t>
      </w:r>
    </w:p>
    <w:p>
      <w:pPr>
        <w:pStyle w:val="ListContinue"/>
      </w:pPr>
      <w:r>
        <w:t xml:space="preserve">The register is in </w:t>
      </w:r>
      <w:r>
        <w:rPr>
          <w:rFonts w:ascii="Courier New" w:hAnsi="Courier New"/>
          <w:sz w:val="20"/>
        </w:rPr>
        <w:t>letters/received/README.md</w:t>
      </w:r>
      <w:r>
        <w:t>.</w:t>
      </w:r>
    </w:p>
    <w:p>
      <w:pPr>
        <w:pStyle w:val="ListBullet"/>
        <w:spacing w:after="60"/>
      </w:pPr>
      <w:r>
        <w:rPr>
          <w:b/>
        </w:rPr>
        <w:t>Must be fixed:</w:t>
      </w:r>
      <w:r>
        <w:t xml:space="preserve"> Wróbel's, which needs a signature and the email line in its letterhead.</w:t>
      </w:r>
    </w:p>
    <w:p>
      <w:pPr>
        <w:pStyle w:val="ListBullet"/>
        <w:spacing w:after="60"/>
      </w:pPr>
      <w:r>
        <w:rPr>
          <w:b/>
        </w:rPr>
        <w:t>Awaited:</w:t>
      </w:r>
    </w:p>
    <w:p>
      <w:pPr>
        <w:pStyle w:val="ListBullet2"/>
        <w:spacing w:after="60"/>
      </w:pPr>
      <w:r>
        <w:t>Sopanen, who had the draft with his invitation on 3 Sep;</w:t>
      </w:r>
    </w:p>
    <w:p>
      <w:pPr>
        <w:pStyle w:val="ListBullet2"/>
        <w:spacing w:after="60"/>
      </w:pPr>
      <w:r>
        <w:t>Jaatinen-Värri, and a second letter from Tiainen if she will write one;</w:t>
      </w:r>
    </w:p>
    <w:p>
      <w:pPr>
        <w:pStyle w:val="ListBullet2"/>
        <w:spacing w:after="60"/>
      </w:pPr>
      <w:r>
        <w:t>Pippuri-Mäkeläinen.</w:t>
      </w:r>
    </w:p>
    <w:p>
      <w:pPr>
        <w:pStyle w:val="ListBullet"/>
        <w:spacing w:after="60"/>
      </w:pPr>
      <w:r>
        <w:rPr>
          <w:b/>
        </w:rPr>
        <w:t>Not yet asked:</w:t>
      </w:r>
      <w:r>
        <w:t xml:space="preserve"> Hinkkanen, whose letter is the second step. His draft still offers "the control sections of the chapter on the drive" and needs the Chapter 12 offer and the pulse-ratio wording.</w:t>
      </w:r>
    </w:p>
    <w:p>
      <w:pPr>
        <w:pStyle w:val="ListBullet"/>
        <w:spacing w:after="60"/>
      </w:pPr>
      <w:r>
        <w:rPr>
          <w:b/>
        </w:rPr>
        <w:t>Chasing:</w:t>
      </w:r>
      <w:r>
        <w:t xml:space="preserve"> once the submission month is fixed, give everyone a reply-by date.</w:t>
      </w:r>
    </w:p>
    <w:p>
      <w:pPr>
        <w:pStyle w:val="Heading1"/>
      </w:pPr>
      <w:r>
        <w:t>Actions</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5896"/>
        <w:gridCol w:w="1814"/>
        <w:gridCol w:w="1316"/>
      </w:tblGrid>
      <w:tr>
        <w:trPr>
          <w:cantSplit/>
          <w:tblHeader/>
        </w:trPr>
        <w:tc>
          <w:tcPr>
            <w:tcW w:w="5896"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Action</w:t>
            </w:r>
          </w:p>
        </w:tc>
        <w:tc>
          <w:tcPr>
            <w:tcW w:w="1814"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Who</w:t>
            </w:r>
          </w:p>
        </w:tc>
        <w:tc>
          <w:tcPr>
            <w:tcW w:w="1316"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By</w:t>
            </w: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Answer Juha's question; write to Wiley</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Settle Chapter 9 and tell Anouar, whichever way it goes</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Merge and correct the table of contents</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Ask Rafał to sign, fill the email line, and say how to list him</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Follow up Marko Hinkkanen with the Chapter 12 offer</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Chase Jussi Sopanen's letter and his co-authors</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Settle §13.3, Jonna or Jouni, with the Chapter 13 owners</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ABB's agreement for Jouni's photographs</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Export the Figure 1.4 mode shapes</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Partial Chapter 7, or drop it</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Biographies, competing titles, Wiley's form</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Voltcar permission, with Jenni</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What may be published of the 2 MW machine</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r>
        <w:trPr>
          <w:cantSplit/>
        </w:trPr>
        <w:tc>
          <w:tcPr>
            <w:tcW w:w="5896" w:type="dxa"/>
            <w:vAlign w:val="center"/>
          </w:tcPr>
          <w:p>
            <w:pPr>
              <w:spacing w:before="0" w:after="0" w:line="240" w:lineRule="auto"/>
              <w:jc w:val="left"/>
            </w:pPr>
            <w:r>
              <w:rPr>
                <w:rFonts w:ascii="Times New Roman" w:hAnsi="Times New Roman" w:cs="Times New Roman"/>
                <w:sz w:val="22"/>
                <w:szCs w:val="22"/>
              </w:rPr>
              <w:t>Close §1.1.2 with Ahti</w:t>
            </w:r>
          </w:p>
        </w:tc>
        <w:tc>
          <w:tcPr>
            <w:tcW w:w="1814" w:type="dxa"/>
            <w:vAlign w:val="center"/>
          </w:tcPr>
          <w:p>
            <w:pPr>
              <w:spacing w:before="0" w:after="0" w:line="240" w:lineRule="auto"/>
              <w:jc w:val="left"/>
            </w:pPr>
          </w:p>
        </w:tc>
        <w:tc>
          <w:tcPr>
            <w:tcW w:w="1316" w:type="dxa"/>
            <w:vAlign w:val="center"/>
          </w:tcPr>
          <w:p>
            <w:pPr>
              <w:spacing w:before="0" w:after="0" w:line="240" w:lineRule="auto"/>
              <w:jc w:val="left"/>
            </w:pPr>
          </w:p>
        </w:tc>
      </w:tr>
    </w:tbl>
    <w:p>
      <w:pPr>
        <w:spacing w:after="40"/>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imes New Roman" w:hAnsi="Times New Roman"/>
      <w:b/>
      <w:color w:val="1A1A1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ption">
    <w:name w:val="caption"/>
    <w:basedOn w:val="Normal"/>
    <w:next w:val="Normal"/>
    <w:uiPriority w:val="35"/>
    <w:unhideWhenUsed/>
    <w:qFormat/>
    <w:pPr>
      <w:spacing w:before="120" w:after="240" w:line="259" w:lineRule="auto"/>
      <w:jc w:val="both"/>
    </w:pPr>
    <w:rPr>
      <w:rFonts w:ascii="Times New Roman" w:hAnsi="Times New Roman" w:cs="Times New Roman"/>
      <w:i w:val="0"/>
      <w:iCs w:val="0"/>
      <w:color w:val="000000"/>
      <w:sz w:val="22"/>
      <w:szCs w:val="22"/>
    </w:rPr>
  </w:style>
  <w:style w:type="table" w:customStyle="1" w:styleId="HSBookTable">
    <w:name w:val="HS Book Table"/>
    <w:basedOn w:val="TableNormal"/>
    <w:uiPriority w:val="40"/>
    <w:pPr>
      <w:spacing w:before="0" w:after="0" w:line="240" w:lineRule="auto"/>
    </w:pPr>
    <w:rPr>
      <w:rFonts w:ascii="Times New Roman" w:hAnsi="Times New Roman" w:cs="Times New Roman"/>
      <w:sz w:val="22"/>
      <w:szCs w:val="22"/>
    </w:rPr>
    <w:tblPr>
      <w:tblBorders>
        <w:top w:val="single" w:sz="8" w:space="0" w:color="000000"/>
        <w:bottom w:val="single" w:sz="8" w:space="0" w:color="000000"/>
      </w:tblBorders>
      <w:tblCellMar>
        <w:top w:w="45" w:type="dxa"/>
        <w:left w:w="85" w:type="dxa"/>
        <w:bottom w:w="45" w:type="dxa"/>
        <w:right w:w="85" w:type="dxa"/>
      </w:tblCellMar>
    </w:tblPr>
    <w:tblStylePr w:type="firstRow">
      <w:rPr>
        <w:b/>
        <w:bCs/>
      </w:rPr>
      <w:tcPr>
        <w:tcBorders>
          <w:bottom w:val="single" w:sz="4" w:space="0" w:color="000000"/>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