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jc w:val="both"/>
      </w:pPr>
      <w:r>
        <w:t xml:space="preserve">&gt; </w:t>
      </w:r>
      <w:r>
        <w:rPr>
          <w:b/>
        </w:rPr>
        <w:t>Confidential — unpublished draft.</w:t>
      </w:r>
      <w:r>
        <w:t xml:space="preserve"> This annotated table of contents is an unpublished working document prepared for a book proposal that has not yet been submitted to Wiley-IEEE Press. It is sent to you in confidence and solely so that you can judge whether to take part. Please do not forward, circulate, post or quote it, in whole or in part, without the authors’ written permission. If you invite a co-author, you may of course show it to them on the same terms. © 2026 H. T. Canseven, I. Petrov and J. Pyrhönen. All rights reserved.</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28</w:t>
            </w:r>
          </w:p>
        </w:tc>
        <w:tc>
          <w:tcPr>
            <w:tcW w:type="dxa" w:w="1234"/>
          </w:tcPr>
          <w:p>
            <w:r>
              <w:rPr>
                <w:sz w:val="19"/>
              </w:rPr>
            </w:r>
            <w:r>
              <w:rPr>
                <w:sz w:val="19"/>
              </w:rPr>
              <w:t>13 000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414</w:t>
            </w:r>
          </w:p>
        </w:tc>
        <w:tc>
          <w:tcPr>
            <w:tcW w:type="dxa" w:w="1234"/>
          </w:tcPr>
          <w:p>
            <w:r>
              <w:rPr>
                <w:sz w:val="19"/>
              </w:rPr>
            </w:r>
            <w:r>
              <w:rPr>
                <w:b/>
                <w:sz w:val="19"/>
              </w:rPr>
              <w:t>162 700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454</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It then answers the question the electrical-machine literature leaves unasked, where the speed requirement comes from at all: the specific speed of the driven turbomachine is derived, the band that yields good isentropic efficiency is stated, and the shaft speed of the book's own industrial compressor is obtained from its duty alone, without any electrical quantity entering the calculation. The same relation shows why the working fluid moves the answer, hydrogen asking roughly twice the speed of air for the same duty.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including §1.1.2, where the speed requirement comes from: specific speed and the turbomachinery optimum · 1.2 The two paradigms: industrial and mobile machines · 1.3 Fundamental physical constraints · 1.4 The role of the power electronic interface · 1.5 Scaling laws and dimensional analysis · 1.6 Summary: framing the design challenges ahead.</w:t>
      </w:r>
    </w:p>
    <w:p>
      <w:pPr>
        <w:jc w:val="both"/>
      </w:pPr>
      <w:r>
        <w:t>Budget: 28 pages, 9 figures, 5 tables. New: the fP criterion; the specific-speed derivation of §1.1.2; the design-path scaling analysis and the rotordynamic result. Contributor: A. Jaatinen-Värri (LUT, Laboratory of Fluid Dynamics) writes §1.1.2, the specific-speed derivation and its worked examples; he is named at the head of the chapter. This is the book's only treatment of specific speed, and Chapter 2 refers back to it rather than repeating it.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The specific-speed relation itself is derived once, in §1.1.2, and is not repeated here; this chapter takes it as given and asks where each industrial duty falls against it, so that the reader sees why one application lands at 30 000 r/min and another at 100 000.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From duty to speed: where the industrial applications fall in the specific-speed bands (the relation itself is derived in §1.1.2)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maps the industrial duties onto the specific-speed bands rather than re-deriving them. Owner: J. Saari of Upheat Solutions, whose chapter this is entire; he covers the industrial applications and the high-temperature heat pump of §2.8 from a manufacturer, and recruits co-authors for the mobile and aerospace applications. §2.2 needs no co-author: it rests on §1.1.2.</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the authors, with I. Petrov leading the rotor losses of §9.5 to §9.7; the windage of §9.8 is offered to J. Saari, whose correlations the section rests on.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1, §1.1.2 — specific speed and the turbomachinery optimum</w:t>
            </w:r>
          </w:p>
        </w:tc>
        <w:tc>
          <w:tcPr>
            <w:tcW w:type="dxa" w:w="2880"/>
          </w:tcPr>
          <w:p>
            <w:r>
              <w:rPr>
                <w:sz w:val="19"/>
              </w:rPr>
            </w:r>
            <w:r>
              <w:rPr>
                <w:sz w:val="19"/>
              </w:rPr>
              <w:t>Ahti Jaatinen-Värri</w:t>
            </w:r>
          </w:p>
        </w:tc>
        <w:tc>
          <w:tcPr>
            <w:tcW w:type="dxa" w:w="2880"/>
          </w:tcPr>
          <w:p>
            <w:r>
              <w:rPr>
                <w:sz w:val="19"/>
              </w:rPr>
            </w:r>
            <w:r>
              <w:rPr>
                <w:sz w:val="19"/>
              </w:rPr>
              <w:t>LUT, Laboratory of Fluid Dynamics</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Solutions,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independent researcher and engineering consultant</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1, 3, 7, 9</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LUT University, loss and efficiency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Charles Nutakor</w:t>
            </w:r>
          </w:p>
        </w:tc>
        <w:tc>
          <w:tcPr>
            <w:tcW w:type="dxa" w:w="2160"/>
          </w:tcPr>
          <w:p>
            <w:r>
              <w:rPr>
                <w:sz w:val="19"/>
              </w:rPr>
            </w:r>
            <w:r>
              <w:rPr>
                <w:sz w:val="19"/>
              </w:rPr>
              <w:t>LUT University, lubrication and seals</w:t>
            </w:r>
          </w:p>
        </w:tc>
        <w:tc>
          <w:tcPr>
            <w:tcW w:type="dxa" w:w="2160"/>
          </w:tcPr>
          <w:p>
            <w:r>
              <w:rPr>
                <w:sz w:val="19"/>
              </w:rPr>
            </w:r>
            <w:r>
              <w:rPr>
                <w:sz w:val="19"/>
              </w:rPr>
              <w:t>6</w:t>
            </w:r>
          </w:p>
        </w:tc>
        <w:tc>
          <w:tcPr>
            <w:tcW w:type="dxa" w:w="2160"/>
          </w:tcPr>
          <w:p>
            <w:r>
              <w:rPr>
                <w:sz w:val="19"/>
              </w:rPr>
            </w:r>
            <w:r>
              <w:rPr>
                <w:sz w:val="19"/>
              </w:rPr>
              <w:t>J. Sopanen, proposed 9 Sep</w:t>
            </w:r>
          </w:p>
        </w:tc>
      </w:tr>
      <w:tr>
        <w:tc>
          <w:tcPr>
            <w:tcW w:type="dxa" w:w="2160"/>
          </w:tcPr>
          <w:p>
            <w:r>
              <w:rPr>
                <w:sz w:val="19"/>
              </w:rPr>
            </w:r>
            <w:r>
              <w:rPr>
                <w:sz w:val="19"/>
              </w:rPr>
              <w:t>Juha Saari</w:t>
            </w:r>
          </w:p>
        </w:tc>
        <w:tc>
          <w:tcPr>
            <w:tcW w:type="dxa" w:w="2160"/>
          </w:tcPr>
          <w:p>
            <w:r>
              <w:rPr>
                <w:sz w:val="19"/>
              </w:rPr>
            </w:r>
            <w:r>
              <w:rPr>
                <w:sz w:val="19"/>
              </w:rPr>
              <w:t>Upheat Solutions</w:t>
            </w:r>
          </w:p>
        </w:tc>
        <w:tc>
          <w:tcPr>
            <w:tcW w:type="dxa" w:w="2160"/>
          </w:tcPr>
          <w:p>
            <w:r>
              <w:rPr>
                <w:sz w:val="19"/>
              </w:rPr>
            </w:r>
            <w:r>
              <w:rPr>
                <w:sz w:val="19"/>
              </w:rPr>
              <w:t>9, §9.8, aerodynamic and windage losses</w:t>
            </w:r>
          </w:p>
        </w:tc>
        <w:tc>
          <w:tcPr>
            <w:tcW w:type="dxa" w:w="2160"/>
          </w:tcPr>
          <w:p>
            <w:r>
              <w:rPr>
                <w:sz w:val="19"/>
              </w:rPr>
            </w:r>
            <w:r>
              <w:rPr>
                <w:sz w:val="19"/>
              </w:rPr>
              <w:t>the authors; to be offered</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