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 chapter, one owner</w:t>
      </w:r>
    </w:p>
    <w:p>
      <w:pPr>
        <w:jc w:val="both"/>
      </w:pPr>
      <w:r>
        <w:t>Note for the authors. What changes if every chapter has a single owner, and what we can</w:t>
      </w:r>
    </w:p>
    <w:p>
      <w:pPr>
        <w:jc w:val="both"/>
      </w:pPr>
      <w:r>
        <w:t>offer Wrobel and Saari under that rule.</w:t>
      </w:r>
    </w:p>
    <w:p>
      <w:pPr>
        <w:pStyle w:val="Heading2"/>
      </w:pPr>
      <w:r>
        <w:t>The problem, measured</w:t>
      </w:r>
    </w:p>
    <w:p>
      <w:pPr>
        <w:jc w:val="both"/>
      </w:pPr>
      <w:r>
        <w:t>Eight of the thirteen chapters currently have two or more external contributors. Three of</w:t>
      </w:r>
    </w:p>
    <w:p>
      <w:pPr>
        <w:jc w:val="both"/>
      </w:pPr>
      <w:r>
        <w:t>them have three: Chapter 9 (Belahcen, Petrov, Saari), Chapter 10 (Wrobel, Nerg, Belahcen,</w:t>
      </w:r>
    </w:p>
    <w:p>
      <w:pPr>
        <w:jc w:val="both"/>
      </w:pPr>
      <w:r>
        <w:t>and the turbomachinery pair on §10.5) and Chapter 11 (Peltoniemi, Hinkkanen, Aarniovuori).</w:t>
      </w:r>
    </w:p>
    <w:p>
      <w:pPr>
        <w:jc w:val="both"/>
      </w:pPr>
      <w:r>
        <w:t>That arrangement puts the whole integration burden on us. Four people writing disjoint</w:t>
      </w:r>
    </w:p>
    <w:p>
      <w:pPr>
        <w:jc w:val="both"/>
      </w:pPr>
      <w:r>
        <w:t>sections of one chapter produce four notations, four levels of assumed background, four</w:t>
      </w:r>
    </w:p>
    <w:p>
      <w:pPr>
        <w:jc w:val="both"/>
      </w:pPr>
      <w:r>
        <w:t>views of what the reader already knows, and no one but us to reconcile them. It is also</w:t>
      </w:r>
    </w:p>
    <w:p>
      <w:pPr>
        <w:jc w:val="both"/>
      </w:pPr>
      <w:r>
        <w:t>unattractive from the contributor's side: a section is a small, oddly-shaped commitment</w:t>
      </w:r>
    </w:p>
    <w:p>
      <w:pPr>
        <w:jc w:val="both"/>
      </w:pPr>
      <w:r>
        <w:t>inside somebody else's argument, with no control over the parts it depends on.</w:t>
      </w:r>
    </w:p>
    <w:p>
      <w:pPr>
        <w:pStyle w:val="Heading2"/>
      </w:pPr>
      <w:r>
        <w:t>The model that already works</w:t>
      </w:r>
    </w:p>
    <w:p>
      <w:pPr>
        <w:jc w:val="both"/>
      </w:pPr>
      <w:r>
        <w:t>Sopanen's three chapters are the exception, and they work because the arrangement is</w:t>
      </w:r>
    </w:p>
    <w:p>
      <w:pPr>
        <w:jc w:val="both"/>
      </w:pPr>
      <w:r>
        <w:t>different in kind. He owns them, he decides who else writes, and he answers for the</w:t>
      </w:r>
    </w:p>
    <w:p>
      <w:pPr>
        <w:jc w:val="both"/>
      </w:pPr>
      <w:r>
        <w:t>result. We deal with one person per chapter; he deals with his own people. The bearing</w:t>
      </w:r>
    </w:p>
    <w:p>
      <w:pPr>
        <w:jc w:val="both"/>
      </w:pPr>
      <w:r>
        <w:t>specialist reaches the book through him, not through us.</w:t>
      </w:r>
    </w:p>
    <w:p>
      <w:pPr>
        <w:jc w:val="both"/>
      </w:pPr>
      <w:r>
        <w:t>Generalised, that is a two-tier model:</w:t>
      </w:r>
    </w:p>
    <w:p>
      <w:pPr>
        <w:pStyle w:val="ListBullet"/>
      </w:pPr>
      <w:r>
        <w:rPr>
          <w:b/>
        </w:rPr>
        <w:t>Owners.</w:t>
      </w:r>
      <w:r>
        <w:t xml:space="preserve"> One per chapter, either one of the three authors or one external contributor.</w:t>
      </w:r>
    </w:p>
    <w:p>
      <w:pPr>
        <w:jc w:val="both"/>
      </w:pPr>
      <w:r>
        <w:t>The owner is our only point of contact for that chapter and is responsible for its</w:t>
      </w:r>
    </w:p>
    <w:p>
      <w:pPr>
        <w:jc w:val="both"/>
      </w:pPr>
      <w:r>
        <w:t>coherence.</w:t>
      </w:r>
    </w:p>
    <w:p>
      <w:pPr>
        <w:pStyle w:val="ListBullet"/>
      </w:pPr>
      <w:r>
        <w:rPr>
          <w:b/>
        </w:rPr>
        <w:t>Co-authors.</w:t>
      </w:r>
      <w:r>
        <w:t xml:space="preserve"> Recruited and coordinated by the owner, not by us. Named at the head of</w:t>
      </w:r>
    </w:p>
    <w:p>
      <w:pPr>
        <w:jc w:val="both"/>
      </w:pPr>
      <w:r>
        <w:t>the chapter alongside the owner. We never negotiate with them directly.</w:t>
      </w:r>
    </w:p>
    <w:p>
      <w:pPr>
        <w:jc w:val="both"/>
      </w:pPr>
      <w:r>
        <w:t>The cost is honest and should be stated: under this rule every external invitation becomes</w:t>
      </w:r>
    </w:p>
    <w:p>
      <w:pPr>
        <w:jc w:val="both"/>
      </w:pPr>
      <w:r>
        <w:t>a chapter of 28 to 40 pages rather than a section of 6 to 12. Some people who would accept</w:t>
      </w:r>
    </w:p>
    <w:p>
      <w:pPr>
        <w:jc w:val="both"/>
      </w:pPr>
      <w:r>
        <w:t>a section will decline a chapter. Against that, an owner who recruits two co-authors may</w:t>
      </w:r>
    </w:p>
    <w:p>
      <w:pPr>
        <w:jc w:val="both"/>
      </w:pPr>
      <w:r>
        <w:t>write less than they would have written as a lone section contributor, and they get a</w:t>
      </w:r>
    </w:p>
    <w:p>
      <w:pPr>
        <w:jc w:val="both"/>
      </w:pPr>
      <w:r>
        <w:t>chapter credit rather than a mention.</w:t>
      </w:r>
    </w:p>
    <w:p>
      <w:pPr>
        <w:pStyle w:val="Heading2"/>
      </w:pPr>
      <w:r>
        <w:t>What to offer Rafal Wrobel</w:t>
      </w:r>
    </w:p>
    <w:p>
      <w:pPr>
        <w:jc w:val="both"/>
      </w:pPr>
      <w:r>
        <w:t>**Chapter 10 in full: Thermal management and cooling of high-speed machines. 28 pages,</w:t>
      </w:r>
    </w:p>
    <w:p>
      <w:pPr>
        <w:jc w:val="both"/>
      </w:pPr>
      <w:r>
        <w:t>18 figures, ten sections.**</w:t>
      </w:r>
    </w:p>
    <w:p>
      <w:pPr>
        <w:jc w:val="both"/>
      </w:pPr>
      <w:r>
        <w:t>His reply listed winding heat paths and thermal resistances, advanced stator cooling</w:t>
      </w:r>
    </w:p>
    <w:p>
      <w:pPr>
        <w:jc w:val="both"/>
      </w:pPr>
      <w:r>
        <w:t>concepts, direct conductor cooling, and the thermal limitations of rotor structures and</w:t>
      </w:r>
    </w:p>
    <w:p>
      <w:pPr>
        <w:jc w:val="both"/>
      </w:pPr>
      <w:r>
        <w:t>interfaces. That is §10.1 to §10.4 and §10.9 already. The rest of the chapter, thermal</w:t>
      </w:r>
    </w:p>
    <w:p>
      <w:pPr>
        <w:jc w:val="both"/>
      </w:pPr>
      <w:r>
        <w:t>networks and their calibration, transient behaviour under drive cycles, magnet temperature</w:t>
      </w:r>
    </w:p>
    <w:p>
      <w:pPr>
        <w:jc w:val="both"/>
      </w:pPr>
      <w:r>
        <w:t>and demagnetisation margin, and air-gap convection, is all within a machine-thermal</w:t>
      </w:r>
    </w:p>
    <w:p>
      <w:pPr>
        <w:jc w:val="both"/>
      </w:pPr>
      <w:r>
        <w:t>specialist's range, and where it is not he can bring someone.</w:t>
      </w:r>
    </w:p>
    <w:p>
      <w:pPr>
        <w:jc w:val="both"/>
      </w:pPr>
      <w:r>
        <w:t>What we would tell him we expect from the chapter:</w:t>
      </w:r>
    </w:p>
    <w:p>
      <w:pPr>
        <w:jc w:val="both"/>
      </w:pPr>
      <w:r>
        <w:t>1. That cooling architecture is treated as a design variable, not as a remedy applied</w:t>
      </w:r>
    </w:p>
    <w:p>
      <w:pPr>
        <w:jc w:val="both"/>
      </w:pPr>
      <w:r>
        <w:t>afterwards. The architecture fixes the admissible loss density, which fixes the electric</w:t>
      </w:r>
    </w:p>
    <w:p>
      <w:pPr>
        <w:jc w:val="both"/>
      </w:pPr>
      <w:r>
        <w:t>loading, which fixes the size of the machine.</w:t>
      </w:r>
    </w:p>
    <w:p>
      <w:pPr>
        <w:jc w:val="both"/>
      </w:pPr>
      <w:r>
        <w:t>2. That the rotor gets equal weight with the stator. The retaining sleeve that Chapter 4</w:t>
      </w:r>
    </w:p>
    <w:p>
      <w:pPr>
        <w:jc w:val="both"/>
      </w:pPr>
      <w:r>
        <w:t>requires for mechanical integrity is a thermal insulator, and the magnet temperature</w:t>
      </w:r>
    </w:p>
    <w:p>
      <w:pPr>
        <w:jc w:val="both"/>
      </w:pPr>
      <w:r>
        <w:t>behind it is usually the binding constraint.</w:t>
      </w:r>
    </w:p>
    <w:p>
      <w:pPr>
        <w:jc w:val="both"/>
      </w:pPr>
      <w:r>
        <w:t>3. That the architectures are presented as choices with the loss density each can sustain</w:t>
      </w:r>
    </w:p>
    <w:p>
      <w:pPr>
        <w:jc w:val="both"/>
      </w:pPr>
      <w:r>
        <w:t>and what each costs to manufacture, rather than as a survey of case studies.</w:t>
      </w:r>
    </w:p>
    <w:p>
      <w:pPr>
        <w:jc w:val="both"/>
      </w:pPr>
      <w:r>
        <w:t>4. That it closes on the two running machines, as every design chapter does.</w:t>
      </w:r>
    </w:p>
    <w:p>
      <w:pPr>
        <w:jc w:val="both"/>
      </w:pPr>
      <w:r>
        <w:t>This is a clean offer and it should be made. It also resolves two loose ends: Nerg need not</w:t>
      </w:r>
    </w:p>
    <w:p>
      <w:pPr>
        <w:jc w:val="both"/>
      </w:pPr>
      <w:r>
        <w:t>be approached at all unless Wrobel wants him, and the air-gap convection question becomes</w:t>
      </w:r>
    </w:p>
    <w:p>
      <w:pPr>
        <w:jc w:val="both"/>
      </w:pPr>
      <w:r>
        <w:t>Wrobel's to settle with the turbomachinery people rather than ours.</w:t>
      </w:r>
    </w:p>
    <w:p>
      <w:pPr>
        <w:pStyle w:val="Heading2"/>
      </w:pPr>
      <w:r>
        <w:t>What to offer Juha Saari</w:t>
      </w:r>
    </w:p>
    <w:p>
      <w:pPr>
        <w:jc w:val="both"/>
      </w:pPr>
      <w:r>
        <w:t>Harder, because he has just asked for less rather than more, and no chapter is smaller than</w:t>
      </w:r>
    </w:p>
    <w:p>
      <w:pPr>
        <w:jc w:val="both"/>
      </w:pPr>
      <w:r>
        <w:t>28 pages. Three possibilities.</w:t>
      </w:r>
    </w:p>
    <w:p>
      <w:pPr>
        <w:jc w:val="both"/>
      </w:pPr>
      <w:r>
        <w:rPr>
          <w:b/>
        </w:rPr>
        <w:t>A. Chapter 2 in full: Applications and system architectures. 34 pages.</w:t>
      </w:r>
      <w:r>
        <w:t xml:space="preserve"> He spans the</w:t>
      </w:r>
    </w:p>
    <w:p>
      <w:pPr>
        <w:jc w:val="both"/>
      </w:pPr>
      <w:r>
        <w:t>industrial side completely, compressors, blowers, ORC, and now high-temperature heat pumps</w:t>
      </w:r>
    </w:p>
    <w:p>
      <w:pPr>
        <w:jc w:val="both"/>
      </w:pPr>
      <w:r>
        <w:t>from Upheat. He does not span traction, aerospace or e-turbochargers, so he would need</w:t>
      </w:r>
    </w:p>
    <w:p>
      <w:pPr>
        <w:jc w:val="both"/>
      </w:pPr>
      <w:r>
        <w:t>co-authors for those, which is exactly what he offered when he wrote that he could suggest</w:t>
      </w:r>
    </w:p>
    <w:p>
      <w:pPr>
        <w:jc w:val="both"/>
      </w:pPr>
      <w:r>
        <w:t>other names. The argument to put to him is that one chapter he controls is less work than</w:t>
      </w:r>
    </w:p>
    <w:p>
      <w:pPr>
        <w:jc w:val="both"/>
      </w:pPr>
      <w:r>
        <w:t>three sections scattered through three chapters, each with its own context, deadline and</w:t>
      </w:r>
    </w:p>
    <w:p>
      <w:pPr>
        <w:jc w:val="both"/>
      </w:pPr>
      <w:r>
        <w:t>cross-references, even though the page count is similar.</w:t>
      </w:r>
    </w:p>
    <w:p>
      <w:pPr>
        <w:jc w:val="both"/>
      </w:pPr>
      <w:r>
        <w:rPr>
          <w:b/>
        </w:rPr>
        <w:t>B. Co-author within someone else's chapter.</w:t>
      </w:r>
      <w:r>
        <w:t xml:space="preserve"> He writes the windage and air-gap material</w:t>
      </w:r>
    </w:p>
    <w:p>
      <w:pPr>
        <w:jc w:val="both"/>
      </w:pPr>
      <w:r>
        <w:t>inside Belahcen's Chapter 9, or inside Wrobel's Chapter 10, invited by that owner rather</w:t>
      </w:r>
    </w:p>
    <w:p>
      <w:pPr>
        <w:jc w:val="both"/>
      </w:pPr>
      <w:r>
        <w:t>than by us. This matches what he asked for and costs him least. It also means we do not</w:t>
      </w:r>
    </w:p>
    <w:p>
      <w:pPr>
        <w:jc w:val="both"/>
      </w:pPr>
      <w:r>
        <w:t>negotiate with him at all, which is the point of the model.</w:t>
      </w:r>
    </w:p>
    <w:p>
      <w:pPr>
        <w:jc w:val="both"/>
      </w:pPr>
      <w:r>
        <w:rPr>
          <w:b/>
        </w:rPr>
        <w:t>C. Both, in sequence.</w:t>
      </w:r>
      <w:r>
        <w:t xml:space="preserve"> Offer him Chapter 2, and if he declines the scale, fall back to B.</w:t>
      </w:r>
    </w:p>
    <w:p>
      <w:pPr>
        <w:jc w:val="both"/>
      </w:pPr>
      <w:r>
        <w:t xml:space="preserve">Recommended: </w:t>
      </w:r>
      <w:r>
        <w:rPr>
          <w:b/>
        </w:rPr>
        <w:t>A, with B named in the same email as the fallback.</w:t>
      </w:r>
      <w:r>
        <w:t xml:space="preserve"> He is the only</w:t>
      </w:r>
    </w:p>
    <w:p>
      <w:pPr>
        <w:jc w:val="both"/>
      </w:pPr>
      <w:r>
        <w:t>industrial contributor who can carry an applications chapter, and losing the applications</w:t>
      </w:r>
    </w:p>
    <w:p>
      <w:pPr>
        <w:jc w:val="both"/>
      </w:pPr>
      <w:r>
        <w:t>chapter to the authors would weaken the part of the book the editor asked about most. But</w:t>
      </w:r>
    </w:p>
    <w:p>
      <w:pPr>
        <w:jc w:val="both"/>
      </w:pPr>
      <w:r>
        <w:t>the email should say plainly that a smaller role is equally welcome, so that a no to the</w:t>
      </w:r>
    </w:p>
    <w:p>
      <w:pPr>
        <w:jc w:val="both"/>
      </w:pPr>
      <w:r>
        <w:t>chapter is not a no to the book.</w:t>
      </w:r>
    </w:p>
    <w:p>
      <w:pPr>
        <w:pStyle w:val="Heading2"/>
      </w:pPr>
      <w:r>
        <w:t>The Hinkkanen problem</w:t>
      </w:r>
    </w:p>
    <w:p>
      <w:pPr>
        <w:jc w:val="both"/>
      </w:pPr>
      <w:r>
        <w:t>Chapter 11 is 40 pages split three ways: Peltoniemi on the converter, Hinkkanen on control,</w:t>
      </w:r>
    </w:p>
    <w:p>
      <w:pPr>
        <w:jc w:val="both"/>
      </w:pPr>
      <w:r>
        <w:t>Aarniovuori on harmonic losses. Under the rule it must have one owner, and Peltoniemi has</w:t>
      </w:r>
    </w:p>
    <w:p>
      <w:pPr>
        <w:jc w:val="both"/>
      </w:pPr>
      <w:r>
        <w:t>already agreed to lead it.</w:t>
      </w:r>
    </w:p>
    <w:p>
      <w:pPr>
        <w:jc w:val="both"/>
      </w:pPr>
      <w:r>
        <w:t>Three ways out.</w:t>
      </w:r>
    </w:p>
    <w:p>
      <w:pPr>
        <w:jc w:val="both"/>
      </w:pPr>
      <w:r>
        <w:t xml:space="preserve">1. </w:t>
      </w:r>
      <w:r>
        <w:rPr>
          <w:b/>
        </w:rPr>
        <w:t>Hold Hinkkanen's invitation.</w:t>
      </w:r>
      <w:r>
        <w:t xml:space="preserve"> Peltoniemi's email already asks him to build the team.</w:t>
      </w:r>
    </w:p>
    <w:p>
      <w:pPr>
        <w:jc w:val="both"/>
      </w:pPr>
      <w:r>
        <w:t>If he names a control person, the question is closed. If he would welcome Hinkkanen,</w:t>
      </w:r>
    </w:p>
    <w:p>
      <w:pPr>
        <w:jc w:val="both"/>
      </w:pPr>
      <w:r>
        <w:t>Hinkkanen comes in as his co-author, which a professor at another university may or may</w:t>
      </w:r>
    </w:p>
    <w:p>
      <w:pPr>
        <w:jc w:val="both"/>
      </w:pPr>
      <w:r>
        <w:t>not accept.</w:t>
      </w:r>
    </w:p>
    <w:p>
      <w:pPr>
        <w:jc w:val="both"/>
      </w:pPr>
      <w:r>
        <w:t xml:space="preserve">2. </w:t>
      </w:r>
      <w:r>
        <w:rPr>
          <w:b/>
        </w:rPr>
        <w:t>Split Chapter 11</w:t>
      </w:r>
      <w:r>
        <w:t xml:space="preserve"> into a converter chapter (Peltoniemi, about 24 pages) and a control</w:t>
      </w:r>
    </w:p>
    <w:p>
      <w:pPr>
        <w:jc w:val="both"/>
      </w:pPr>
      <w:r>
        <w:t>chapter (Hinkkanen, about 18 pages). Clean ownership, and it makes fourteen chapters at</w:t>
      </w:r>
    </w:p>
    <w:p>
      <w:pPr>
        <w:jc w:val="both"/>
      </w:pPr>
      <w:r>
        <w:t>the same page total. The objection is real: the book argues that machine and drive must</w:t>
      </w:r>
    </w:p>
    <w:p>
      <w:pPr>
        <w:jc w:val="both"/>
      </w:pPr>
      <w:r>
        <w:t>be treated together, and putting the converter and its control in separate chapters</w:t>
      </w:r>
    </w:p>
    <w:p>
      <w:pPr>
        <w:jc w:val="both"/>
      </w:pPr>
      <w:r>
        <w:t>reintroduces a boundary of the kind the book criticises.</w:t>
      </w:r>
    </w:p>
    <w:p>
      <w:pPr>
        <w:jc w:val="both"/>
      </w:pPr>
      <w:r>
        <w:t xml:space="preserve">3. </w:t>
      </w:r>
      <w:r>
        <w:rPr>
          <w:b/>
        </w:rPr>
        <w:t>Do not invite Hinkkanen.</w:t>
      </w:r>
      <w:r>
        <w:t xml:space="preserve"> Peltoniemi owns the whole chapter and finds his own control</w:t>
      </w:r>
    </w:p>
    <w:p>
      <w:pPr>
        <w:jc w:val="both"/>
      </w:pPr>
      <w:r>
        <w:t>contributor at LUT.</w:t>
      </w:r>
    </w:p>
    <w:p>
      <w:pPr>
        <w:jc w:val="both"/>
      </w:pPr>
      <w:r>
        <w:t xml:space="preserve">Recommended: </w:t>
      </w:r>
      <w:r>
        <w:rPr>
          <w:b/>
        </w:rPr>
        <w:t>1</w:t>
      </w:r>
      <w:r>
        <w:t>. His invitation has not gone out. Ask Peltoniemi first who he wants;</w:t>
      </w:r>
    </w:p>
    <w:p>
      <w:pPr>
        <w:jc w:val="both"/>
      </w:pPr>
      <w:r>
        <w:t>his answer decides it, and it costs nothing to wait.</w:t>
      </w:r>
    </w:p>
    <w:p>
      <w:pPr>
        <w:pStyle w:val="Heading2"/>
      </w:pPr>
      <w:r>
        <w:t>Consequences elsewhere</w:t>
      </w:r>
    </w:p>
    <w:p>
      <w:pPr>
        <w:pStyle w:val="ListBullet"/>
      </w:pPr>
      <w:r>
        <w:rPr>
          <w:b/>
        </w:rPr>
        <w:t>Chapter 9</w:t>
      </w:r>
      <w:r>
        <w:t xml:space="preserve"> becomes Belahcen's alone. If Saari takes Chapter 2, Belahcen invites</w:t>
      </w:r>
    </w:p>
    <w:p>
      <w:pPr>
        <w:jc w:val="both"/>
      </w:pPr>
      <w:r>
        <w:t>whoever writes the windage material, and Petrov's rotor-loss sections are agreed between</w:t>
      </w:r>
    </w:p>
    <w:p>
      <w:pPr>
        <w:jc w:val="both"/>
      </w:pPr>
      <w:r>
        <w:t>them rather than assigned by us.</w:t>
      </w:r>
    </w:p>
    <w:p>
      <w:pPr>
        <w:pStyle w:val="ListBullet"/>
      </w:pPr>
      <w:r>
        <w:rPr>
          <w:b/>
        </w:rPr>
        <w:t>The turbomachinery pair</w:t>
      </w:r>
      <w:r>
        <w:t xml:space="preserve"> are no longer our invitees. They become co-authors whom Saari</w:t>
      </w:r>
    </w:p>
    <w:p>
      <w:pPr>
        <w:jc w:val="both"/>
      </w:pPr>
      <w:r>
        <w:t>brings to Chapter 2 or Wrobel brings to Chapter 10.</w:t>
      </w:r>
    </w:p>
    <w:p>
      <w:pPr>
        <w:pStyle w:val="ListBullet"/>
      </w:pPr>
      <w:r>
        <w:rPr>
          <w:b/>
        </w:rPr>
        <w:t>Janne Nerg</w:t>
      </w:r>
      <w:r>
        <w:t xml:space="preserve"> is not approached. If Wrobel wants a thermal-networks collaborator, that is</w:t>
      </w:r>
    </w:p>
    <w:p>
      <w:pPr>
        <w:jc w:val="both"/>
      </w:pPr>
      <w:r>
        <w:t>his choice to make.</w:t>
      </w:r>
    </w:p>
    <w:p>
      <w:pPr>
        <w:pStyle w:val="ListBullet"/>
      </w:pPr>
      <w:r>
        <w:rPr>
          <w:b/>
        </w:rPr>
        <w:t>Ikäheimo and Aarniovuori</w:t>
      </w:r>
      <w:r>
        <w:t xml:space="preserve"> are unaffected. They contribute to chapters the authors own,</w:t>
      </w:r>
    </w:p>
    <w:p>
      <w:pPr>
        <w:jc w:val="both"/>
      </w:pPr>
      <w:r>
        <w:t>which is a different case: we are the owner, so there is no third party to reconcile.</w:t>
      </w:r>
    </w:p>
    <w:p>
      <w:pPr>
        <w:pStyle w:val="ListBullet"/>
      </w:pPr>
      <w:r>
        <w:rPr>
          <w:b/>
        </w:rPr>
        <w:t>The contributor table</w:t>
      </w:r>
      <w:r>
        <w:t xml:space="preserve"> should show owners and co-authors as two ranks rather than one</w:t>
      </w:r>
    </w:p>
    <w:p>
      <w:pPr>
        <w:jc w:val="both"/>
      </w:pPr>
      <w:r>
        <w:t>flat list. A reviewer reading a table of eleven names against thirteen chapters sees a</w:t>
      </w:r>
    </w:p>
    <w:p>
      <w:pPr>
        <w:jc w:val="both"/>
      </w:pPr>
      <w:r>
        <w:t>committee; the same names in two ranks show a structure.</w:t>
      </w:r>
    </w:p>
    <w:p>
      <w:pPr>
        <w:pStyle w:val="Heading2"/>
      </w:pPr>
      <w:r>
        <w:t>An open item that outranks all of this: the Voltcar data</w:t>
      </w:r>
    </w:p>
    <w:p>
      <w:pPr>
        <w:jc w:val="both"/>
      </w:pPr>
      <w:r>
        <w:t>The Voltcar traction machine is the book's mobile running machine. It is specified in</w:t>
      </w:r>
    </w:p>
    <w:p>
      <w:pPr>
        <w:jc w:val="both"/>
      </w:pPr>
      <w:r>
        <w:t>Chapter 2, carried through Chapters 4 to 11, and assembled into a complete measured design</w:t>
      </w:r>
    </w:p>
    <w:p>
      <w:pPr>
        <w:jc w:val="both"/>
      </w:pPr>
      <w:r>
        <w:t>in §13.1. Nine chapters depend on it, and it is half of the two-paradigm structure that</w:t>
      </w:r>
    </w:p>
    <w:p>
      <w:pPr>
        <w:jc w:val="both"/>
      </w:pPr>
      <w:r>
        <w:t>organises the whole text.</w:t>
      </w:r>
    </w:p>
    <w:p>
      <w:pPr>
        <w:jc w:val="both"/>
      </w:pPr>
      <w:r>
        <w:t>Nobody has yet asked the project whether its results may be published in a book. Jenni</w:t>
      </w:r>
    </w:p>
    <w:p>
      <w:pPr>
        <w:jc w:val="both"/>
      </w:pPr>
      <w:r>
        <w:t>Pippuri-Mäkeläinen of VTT manages Voltcar, so she is the person who grants that or brokers</w:t>
      </w:r>
    </w:p>
    <w:p>
      <w:pPr>
        <w:jc w:val="both"/>
      </w:pPr>
      <w:r>
        <w:t>it with the consortium. This has to be settled whether or not she writes anything, and it</w:t>
      </w:r>
    </w:p>
    <w:p>
      <w:pPr>
        <w:jc w:val="both"/>
      </w:pPr>
      <w:r>
        <w:t>should be settled before the proposal goes to Wiley, because a late no would not cost a</w:t>
      </w:r>
    </w:p>
    <w:p>
      <w:pPr>
        <w:jc w:val="both"/>
      </w:pPr>
      <w:r>
        <w:t>section: it would cost the mobile half of the book.</w:t>
      </w:r>
    </w:p>
    <w:p>
      <w:pPr>
        <w:jc w:val="both"/>
      </w:pPr>
      <w:r>
        <w:t>It is the same class of risk as the compressor measurements, and larger, because the</w:t>
      </w:r>
    </w:p>
    <w:p>
      <w:pPr>
        <w:jc w:val="both"/>
      </w:pPr>
      <w:r>
        <w:t>compressor case is still unattached while Voltcar is already load-bearing. Ask early, and</w:t>
      </w:r>
    </w:p>
    <w:p>
      <w:pPr>
        <w:jc w:val="both"/>
      </w:pPr>
      <w:r>
        <w:t>ask what the consortium agreement says rather than only what she personally thinks.</w:t>
      </w:r>
    </w:p>
    <w:p>
      <w:pPr>
        <w:pStyle w:val="Heading2"/>
      </w:pPr>
      <w:r>
        <w:t>The other running machine is still unattached</w:t>
      </w:r>
    </w:p>
    <w:p>
      <w:pPr>
        <w:jc w:val="both"/>
      </w:pPr>
      <w:r>
        <w:t>The industrial running machine is described throughout as "a two-pole gearless compressor</w:t>
      </w:r>
    </w:p>
    <w:p>
      <w:pPr>
        <w:jc w:val="both"/>
      </w:pPr>
      <w:r>
        <w:t>drive" and has no confirmed source. Saari was the assumed one; he is taking a chapter</w:t>
      </w:r>
    </w:p>
    <w:p>
      <w:pPr>
        <w:jc w:val="both"/>
      </w:pPr>
      <w:r>
        <w:t>rather than the case study, and has in any event moved employer. Ikäheimo at ABB is a</w:t>
      </w:r>
    </w:p>
    <w:p>
      <w:pPr>
        <w:jc w:val="both"/>
      </w:pPr>
      <w:r>
        <w:t>candidate, and a machine documented in a published dissertation is another.</w:t>
      </w:r>
    </w:p>
    <w:p>
      <w:pPr>
        <w:jc w:val="both"/>
      </w:pPr>
      <w:r>
        <w:t>A published machine has one decisive advantage over an industrial one: **it is already</w:t>
      </w:r>
    </w:p>
    <w:p>
      <w:pPr>
        <w:jc w:val="both"/>
      </w:pPr>
      <w:r>
        <w:t>cleared.** No employer has to be asked, no consortium has to agree, and the figures can be</w:t>
      </w:r>
    </w:p>
    <w:p>
      <w:pPr>
        <w:jc w:val="both"/>
      </w:pPr>
      <w:r>
        <w:t>reproduced with a citation. Set against the compressor case, whose clearance is the largest</w:t>
      </w:r>
    </w:p>
    <w:p>
      <w:pPr>
        <w:jc w:val="both"/>
      </w:pPr>
      <w:r>
        <w:t>unresolved risk in the plan, that is worth a great deal.</w:t>
      </w:r>
    </w:p>
    <w:p>
      <w:pPr>
        <w:jc w:val="both"/>
      </w:pPr>
      <w:r>
        <w:t>What the industrial running machine has to carry, chapter by chapter, before it can be</w:t>
      </w:r>
    </w:p>
    <w:p>
      <w:pPr>
        <w:jc w:val="both"/>
      </w:pPr>
      <w:r>
        <w:t>adopted: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Chapter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it must supply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genuine industrial application, judged on availability and total cost of ownership, not a laboratory demonstrator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Rotor retention: sleeve or bridge design, interference fits, overspeed margin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Rotordynamics: bearing span, critical speeds, mode shapes, sub- or supercritical operation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Bearing type, lubrication arrangement, and ideally life or service experience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Complete electromagnetic dimensions, enough to re-run the sizing procedure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Conductor and winding design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Measured losses, segregated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Cooling arrangement and measured temperatures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converter it runs on: device family, switching frequency, resulting pulse ratio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Assembled design, measured performance, and ideally qualification against standards</w:t>
            </w:r>
          </w:p>
        </w:tc>
      </w:tr>
    </w:tbl>
    <w:p>
      <w:pPr>
        <w:spacing w:after="120"/>
      </w:pPr>
    </w:p>
    <w:p>
      <w:pPr>
        <w:jc w:val="both"/>
      </w:pPr>
      <w:r>
        <w:t xml:space="preserve">Two further tests. It should be </w:t>
      </w:r>
      <w:r>
        <w:rPr>
          <w:b/>
        </w:rPr>
        <w:t>recent enough</w:t>
      </w:r>
      <w:r>
        <w:t xml:space="preserve"> that a reviewer does not read the book as</w:t>
      </w:r>
    </w:p>
    <w:p>
      <w:pPr>
        <w:jc w:val="both"/>
      </w:pPr>
      <w:r>
        <w:t>retrospective, since the editor asked for updated applications. And it should sit clearly</w:t>
      </w:r>
    </w:p>
    <w:p>
      <w:pPr>
        <w:jc w:val="both"/>
      </w:pPr>
      <w:r>
        <w:t>in the industrial paradigm, so that the contrast with the mobile machine carries the weight</w:t>
      </w:r>
    </w:p>
    <w:p>
      <w:pPr>
        <w:jc w:val="both"/>
      </w:pPr>
      <w:r>
        <w:t>the book puts on it.</w:t>
      </w:r>
    </w:p>
    <w:p>
      <w:pPr>
        <w:jc w:val="both"/>
      </w:pPr>
      <w:r>
        <w:t>A doctoral dissertation is an unusually good source for this, because it normally documents</w:t>
      </w:r>
    </w:p>
    <w:p>
      <w:pPr>
        <w:jc w:val="both"/>
      </w:pPr>
      <w:r>
        <w:t>mechanical, electromagnetic, thermal and drive aspects of one machine in a single place,</w:t>
      </w:r>
    </w:p>
    <w:p>
      <w:pPr>
        <w:jc w:val="both"/>
      </w:pPr>
      <w:r>
        <w:t>which is exactly what a running machine needs and what a journal paper never provides.</w:t>
      </w:r>
    </w:p>
    <w:p>
      <w:pPr>
        <w:pStyle w:val="Heading2"/>
      </w:pPr>
      <w:r>
        <w:t>Assessed: the 2 MW solid-rotor machine of Chong Di's dissertation</w:t>
      </w:r>
    </w:p>
    <w:p>
      <w:pPr>
        <w:jc w:val="both"/>
      </w:pPr>
      <w:r>
        <w:rPr>
          <w:i/>
        </w:rPr>
        <w:t>Modeling and Analysis of a High-Speed Solid-Rotor Induction Machine</w:t>
      </w:r>
      <w:r>
        <w:t>, Chong Di, Acta</w:t>
      </w:r>
    </w:p>
    <w:p>
      <w:pPr>
        <w:jc w:val="both"/>
      </w:pPr>
      <w:r>
        <w:t>Universitatis Lappeenrantaensis 902, LUT, 2020. Supervised by Juha Pyrhönen and Ilya</w:t>
      </w:r>
    </w:p>
    <w:p>
      <w:pPr>
        <w:jc w:val="both"/>
      </w:pPr>
      <w:r>
        <w:t>Petrov. 153 pages, article-based.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Rated power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2 000 kW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Synchronous speed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12 000 r/min, 200 Hz, one pole pair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Rated voltage, current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660 V, 2 100 A rms, delta, two parallel branches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Rated torque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1 600 Nm; power factor 0.7; estimated efficiency 96 %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Rotor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solid S355, outer diameter 266 mm, 44 slits 4 mm wide and 50 mm deep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Stator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inner 280 mm, outer 700 mm, active length 538 mm, 36 slots, M270-35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Support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active magnetic bearings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Cooling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direct liquid cooling, prefabricated coils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Tip speed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167 m/s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400 000 kW/s, 2.2 times the threshold of §1.1.1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l/D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1.92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b/>
        </w:rPr>
        <w:t>It fits the industrial paradigm almost exactly.</w:t>
      </w:r>
      <w:r>
        <w:t xml:space="preserve"> Two poles, as the plan already assumes.</w:t>
      </w:r>
    </w:p>
    <w:p>
      <w:pPr>
        <w:jc w:val="both"/>
      </w:pPr>
      <w:r>
        <w:t>A solid-rotor induction machine, which Chapter 3 calls the industrial workhorse and which</w:t>
      </w:r>
    </w:p>
    <w:p>
      <w:pPr>
        <w:jc w:val="both"/>
      </w:pPr>
      <w:r>
        <w:t>Ikäheimo is writing §3.2 and §3.3 about, so the running machine and the topology chapter</w:t>
      </w:r>
    </w:p>
    <w:p>
      <w:pPr>
        <w:jc w:val="both"/>
      </w:pPr>
      <w:r>
        <w:t>would reinforce each other. Two megawatts is industrial scale, not a demonstrator. At 200 Hz</w:t>
      </w:r>
    </w:p>
    <w:p>
      <w:pPr>
        <w:jc w:val="both"/>
      </w:pPr>
      <w:r>
        <w:t>it sits precisely in the region Figure 1.9 marks as the low-pole industrial topology</w:t>
      </w:r>
    </w:p>
    <w:p>
      <w:pPr>
        <w:jc w:val="both"/>
      </w:pPr>
      <w:r>
        <w:t>reachable with silicon converters, so it demonstrates the industrial branch of the</w:t>
      </w:r>
    </w:p>
    <w:p>
      <w:pPr>
        <w:jc w:val="both"/>
      </w:pPr>
      <w:r>
        <w:t>gatekeeper argument rather than contradicting it. And 167 m/s is above the hundred metres a</w:t>
      </w:r>
    </w:p>
    <w:p>
      <w:pPr>
        <w:jc w:val="both"/>
      </w:pPr>
      <w:r>
        <w:t>second at which the air gap stops being passive, so the windage material has something to</w:t>
      </w:r>
    </w:p>
    <w:p>
      <w:pPr>
        <w:jc w:val="both"/>
      </w:pPr>
      <w:r>
        <w:t>bite on.</w:t>
      </w:r>
    </w:p>
    <w:p>
      <w:pPr>
        <w:jc w:val="both"/>
      </w:pPr>
      <w:r>
        <w:rPr>
          <w:b/>
        </w:rPr>
        <w:t>It feeds the chapters unusually well.</w:t>
      </w:r>
      <w:r>
        <w:t xml:space="preserve"> Active magnetic bearings, including</w:t>
      </w:r>
    </w:p>
    <w:p>
      <w:pPr>
        <w:jc w:val="both"/>
      </w:pPr>
      <w:r>
        <w:t>unbalanced-magnetic-pull compensation, for §6.5. Direct liquid cooling for Chapter 10, which</w:t>
      </w:r>
    </w:p>
    <w:p>
      <w:pPr>
        <w:jc w:val="both"/>
      </w:pPr>
      <w:r>
        <w:t>is Wrobel's own specialism. Semimagnetic wedges as a slot-geometry decision for Chapter 7.</w:t>
      </w:r>
    </w:p>
    <w:p>
      <w:pPr>
        <w:jc w:val="both"/>
      </w:pPr>
      <w:r>
        <w:t>An asymmetric winding with prefabricated coils and current-unbalance suppression for</w:t>
      </w:r>
    </w:p>
    <w:p>
      <w:pPr>
        <w:jc w:val="both"/>
      </w:pPr>
      <w:r>
        <w:t>Chapter 8. Solid-rotor eddy-current harmonic loss modelling, the dissertation's central</w:t>
      </w:r>
    </w:p>
    <w:p>
      <w:pPr>
        <w:jc w:val="both"/>
      </w:pPr>
      <w:r>
        <w:t>contribution, for §9.5 to §9.7. It also contrasts with the Voltcar machine in the right way:</w:t>
      </w:r>
    </w:p>
    <w:p>
      <w:pPr>
        <w:jc w:val="both"/>
      </w:pPr>
      <w:r>
        <w:t>solid steel and slits against magnets and a sleeve, which makes the industrial-versus-mobile</w:t>
      </w:r>
    </w:p>
    <w:p>
      <w:pPr>
        <w:jc w:val="both"/>
      </w:pPr>
      <w:r>
        <w:t>comparison in every design chapter a real comparison rather than a rhetorical one.</w:t>
      </w:r>
    </w:p>
    <w:p>
      <w:pPr>
        <w:jc w:val="both"/>
      </w:pPr>
      <w:r>
        <w:rPr>
          <w:b/>
        </w:rPr>
        <w:t>Clearance is not an issue.</w:t>
      </w:r>
      <w:r>
        <w:t xml:space="preserve"> It is published, it is LUT, and two of the three authors</w:t>
      </w:r>
    </w:p>
    <w:p>
      <w:pPr>
        <w:jc w:val="both"/>
      </w:pPr>
      <w:r>
        <w:t>supervised it. Nobody has to be asked.</w:t>
      </w:r>
    </w:p>
    <w:p>
      <w:pPr>
        <w:jc w:val="both"/>
      </w:pPr>
      <w:r>
        <w:rPr>
          <w:b/>
        </w:rPr>
        <w:t>The one problem: no measured machine performance.</w:t>
      </w:r>
      <w:r>
        <w:t xml:space="preserve"> The measurements in the dissertation</w:t>
      </w:r>
    </w:p>
    <w:p>
      <w:pPr>
        <w:jc w:val="both"/>
      </w:pPr>
      <w:r>
        <w:t>are material-level, core-loss curves fitted to Bertotti at 100, 200 and 400 Hz. The</w:t>
      </w:r>
    </w:p>
    <w:p>
      <w:pPr>
        <w:jc w:val="both"/>
      </w:pPr>
      <w:r>
        <w:t>validation of the machine itself is by finite-element analysis. The text discusses rotor</w:t>
      </w:r>
    </w:p>
    <w:p>
      <w:pPr>
        <w:jc w:val="both"/>
      </w:pPr>
      <w:r>
        <w:t>construction options for "the first prototype", which reads as a design that had not yet</w:t>
      </w:r>
    </w:p>
    <w:p>
      <w:pPr>
        <w:jc w:val="both"/>
      </w:pPr>
      <w:r>
        <w:t>been built when the dissertation was written.</w:t>
      </w:r>
    </w:p>
    <w:p>
      <w:pPr>
        <w:jc w:val="both"/>
      </w:pPr>
      <w:r>
        <w:t>That matters because §12.1 promises the industrial machine carried *from specification to</w:t>
      </w:r>
    </w:p>
    <w:p>
      <w:pPr>
        <w:jc w:val="both"/>
      </w:pPr>
      <w:r>
        <w:t>measured performance*, and Chapter 12 is one of the two places where the book claims</w:t>
      </w:r>
    </w:p>
    <w:p>
      <w:pPr>
        <w:jc w:val="both"/>
      </w:pPr>
      <w:r>
        <w:t>measured case data.</w:t>
      </w:r>
    </w:p>
    <w:p>
      <w:pPr>
        <w:jc w:val="both"/>
      </w:pPr>
      <w:r>
        <w:rPr>
          <w:b/>
        </w:rPr>
        <w:t>The question for Juha and Ilya, which only they can answer:</w:t>
      </w:r>
      <w:r>
        <w:t xml:space="preserve"> was this machine built, and</w:t>
      </w:r>
    </w:p>
    <w:p>
      <w:pPr>
        <w:jc w:val="both"/>
      </w:pPr>
      <w:r>
        <w:t>are test results available, whether in later work, at a partner, or unpublished? If yes,</w:t>
      </w:r>
    </w:p>
    <w:p>
      <w:pPr>
        <w:jc w:val="both"/>
      </w:pPr>
      <w:r>
        <w:t>adopt it. If no, there are two options, and the first is better:</w:t>
      </w:r>
    </w:p>
    <w:p>
      <w:pPr>
        <w:jc w:val="both"/>
      </w:pPr>
      <w:r>
        <w:t>1. Use it as the industrial running machine through Chapters 2 to 11, where its design is</w:t>
      </w:r>
    </w:p>
    <w:p>
      <w:pPr>
        <w:jc w:val="both"/>
      </w:pPr>
      <w:r>
        <w:t>fully documented, and pair it in Chapter 12 with whatever measured industrial machine can</w:t>
      </w:r>
    </w:p>
    <w:p>
      <w:pPr>
        <w:jc w:val="both"/>
      </w:pPr>
      <w:r>
        <w:t>be obtained, from ABB through Ikäheimo. The chapter then has a designed machine and a</w:t>
      </w:r>
    </w:p>
    <w:p>
      <w:pPr>
        <w:jc w:val="both"/>
      </w:pPr>
      <w:r>
        <w:t>measured one, which is honest and still useful.</w:t>
      </w:r>
    </w:p>
    <w:p>
      <w:pPr>
        <w:jc w:val="both"/>
      </w:pPr>
      <w:r>
        <w:t>2. Adopt it throughout and change §12.1 to read "from specification to validated design",</w:t>
      </w:r>
    </w:p>
    <w:p>
      <w:pPr>
        <w:jc w:val="both"/>
      </w:pPr>
      <w:r>
        <w:t>keeping "to measured performance" for Voltcar alone. This costs the symmetry of the</w:t>
      </w:r>
    </w:p>
    <w:p>
      <w:pPr>
        <w:jc w:val="both"/>
      </w:pPr>
      <w:r>
        <w:t>two-machine claim and a reviewer may notice.</w:t>
      </w:r>
    </w:p>
    <w:p>
      <w:pPr>
        <w:jc w:val="both"/>
      </w:pPr>
      <w:r>
        <w:t>Even with the caveat, this is a considerably better candidate than the unattached compressor</w:t>
      </w:r>
    </w:p>
    <w:p>
      <w:pPr>
        <w:jc w:val="both"/>
      </w:pPr>
      <w:r>
        <w:t>drive currently in the plan. Recommend adopting it subject to that one question.</w:t>
      </w:r>
    </w:p>
    <w:p>
      <w:pPr>
        <w:pStyle w:val="Heading2"/>
      </w:pPr>
      <w:r>
        <w:t>Review of the fourteen-chapter ownership map</w:t>
      </w:r>
    </w:p>
    <w:p>
      <w:pPr>
        <w:jc w:val="both"/>
      </w:pPr>
      <w:r>
        <w:t>The map is a real improvement. Every chapter has one owner; Hinkkanen gets Chapter 12 and</w:t>
      </w:r>
    </w:p>
    <w:p>
      <w:pPr>
        <w:jc w:val="both"/>
      </w:pPr>
      <w:r>
        <w:t>the awkwardness of a peer professor writing inside Peltoniemi's chapter disappears; Rasilo</w:t>
      </w:r>
    </w:p>
    <w:p>
      <w:pPr>
        <w:jc w:val="both"/>
      </w:pPr>
      <w:r>
        <w:t>is an excellent name for core losses and adds Tampere to a list that was LUT, Aalto and</w:t>
      </w:r>
    </w:p>
    <w:p>
      <w:pPr>
        <w:jc w:val="both"/>
      </w:pPr>
      <w:r>
        <w:t>Newcastle; and the page budget still lands at 452 against the 450 target. Four things</w:t>
      </w:r>
    </w:p>
    <w:p>
      <w:pPr>
        <w:jc w:val="both"/>
      </w:pPr>
      <w:r>
        <w:t>should be settled before it goes out.</w:t>
      </w:r>
    </w:p>
    <w:p>
      <w:pPr>
        <w:pStyle w:val="Heading3"/>
      </w:pPr>
      <w:r>
        <w:t>1. The authors would write 23 per cent of their own book</w:t>
      </w:r>
    </w:p>
    <w:p>
      <w:pPr>
        <w:jc w:val="both"/>
      </w:pPr>
      <w:r>
        <w:t>Chapters 1, 3 and 7, ninety-six pages of four hundred and twelve. Wiley is being asked for</w:t>
      </w:r>
    </w:p>
    <w:p>
      <w:pPr>
        <w:jc w:val="both"/>
      </w:pPr>
      <w:r>
        <w:t>an authored book with three names on the cover; a reviewer who counts will see a contributed</w:t>
      </w:r>
    </w:p>
    <w:p>
      <w:pPr>
        <w:jc w:val="both"/>
      </w:pPr>
      <w:r>
        <w:t>volume with three editors. The earlier map had the authors on six chapters of thirteen.</w:t>
      </w:r>
    </w:p>
    <w:p>
      <w:pPr>
        <w:jc w:val="both"/>
      </w:pPr>
      <w:r>
        <w:t>What moved out matters more than the count. Chapters 13 and 14 are where the book's own</w:t>
      </w:r>
    </w:p>
    <w:p>
      <w:pPr>
        <w:jc w:val="both"/>
      </w:pPr>
      <w:r>
        <w:t>procedure is shown working on the two running machines. If both go to outsiders, the authors</w:t>
      </w:r>
    </w:p>
    <w:p>
      <w:pPr>
        <w:jc w:val="both"/>
      </w:pPr>
      <w:r>
        <w:t>never demonstrate the method they spent seven chapters arguing for.</w:t>
      </w:r>
    </w:p>
    <w:p>
      <w:pPr>
        <w:jc w:val="both"/>
      </w:pPr>
      <w:r>
        <w:t>The industrial running machine is now LUT's own 2 MW solid-rotor machine, supervised by two</w:t>
      </w:r>
    </w:p>
    <w:p>
      <w:pPr>
        <w:jc w:val="both"/>
      </w:pPr>
      <w:r>
        <w:t>of the three authors, and the test data is unpublished and in their hands. Chapter 13 should</w:t>
      </w:r>
    </w:p>
    <w:p>
      <w:pPr>
        <w:jc w:val="both"/>
      </w:pPr>
      <w:r>
        <w:t>therefore be the authors', with Tiainen and Jaatinen-Värri as co-authors for the compressor</w:t>
      </w:r>
    </w:p>
    <w:p>
      <w:pPr>
        <w:jc w:val="both"/>
      </w:pPr>
      <w:r>
        <w:t>and ORC side. That restores the authored-book balance to four chapters and about a third of</w:t>
      </w:r>
    </w:p>
    <w:p>
      <w:pPr>
        <w:jc w:val="both"/>
      </w:pPr>
      <w:r>
        <w:t>the text, and it puts the machine's own people in charge of reporting it.</w:t>
      </w:r>
    </w:p>
    <w:p>
      <w:pPr>
        <w:jc w:val="both"/>
      </w:pPr>
      <w:r>
        <w:t>Chapter 14 can stay with Pippuri-Mäkeläinen, because Voltcar is VTT's and the data is</w:t>
      </w:r>
    </w:p>
    <w:p>
      <w:pPr>
        <w:jc w:val="both"/>
      </w:pPr>
      <w:r>
        <w:t>theirs.</w:t>
      </w:r>
    </w:p>
    <w:p>
      <w:pPr>
        <w:pStyle w:val="Heading3"/>
      </w:pPr>
      <w:r>
        <w:t>2. Chapter 14 has lost the aerospace generator and the e-turbocharger</w:t>
      </w:r>
    </w:p>
    <w:p>
      <w:pPr>
        <w:jc w:val="both"/>
      </w:pPr>
      <w:r>
        <w:t xml:space="preserve">The title now reads </w:t>
      </w:r>
      <w:r>
        <w:rPr>
          <w:i/>
        </w:rPr>
        <w:t>Mobile case studies: traction</w:t>
      </w:r>
      <w:r>
        <w:t>. One machine in thirty pages, and the</w:t>
      </w:r>
    </w:p>
    <w:p>
      <w:pPr>
        <w:jc w:val="both"/>
      </w:pPr>
      <w:r>
        <w:t>mobile paradigm is represented by a single 120 kW traction motor.</w:t>
      </w:r>
    </w:p>
    <w:p>
      <w:pPr>
        <w:jc w:val="both"/>
      </w:pPr>
      <w:r>
        <w:t>That costs three things. The e-turbocharger above 100 000 r/min is what makes the book's</w:t>
      </w:r>
    </w:p>
    <w:p>
      <w:pPr>
        <w:jc w:val="both"/>
      </w:pPr>
      <w:r>
        <w:t>claimed speed range credible; without it the highest speed in the book is 30 000 r/min.</w:t>
      </w:r>
    </w:p>
    <w:p>
      <w:pPr>
        <w:jc w:val="both"/>
      </w:pPr>
      <w:r>
        <w:t>Aerospace is the current market the editor asked about. And the closing section, where the</w:t>
      </w:r>
    </w:p>
    <w:p>
      <w:pPr>
        <w:jc w:val="both"/>
      </w:pPr>
      <w:r>
        <w:t>two paradigms are revisited with the completed designs in hand, needs range on the mobile</w:t>
      </w:r>
    </w:p>
    <w:p>
      <w:pPr>
        <w:jc w:val="both"/>
      </w:pPr>
      <w:r>
        <w:t>side or it compares one machine with one machine.</w:t>
      </w:r>
    </w:p>
    <w:p>
      <w:pPr>
        <w:jc w:val="both"/>
      </w:pPr>
      <w:r>
        <w:t>Keep the title and the three sections, and let Pippuri-Mäkeläinen recruit for the two she</w:t>
      </w:r>
    </w:p>
    <w:p>
      <w:pPr>
        <w:jc w:val="both"/>
      </w:pPr>
      <w:r>
        <w:t>cannot cover, exactly as Saari is being asked to do for the mobile applications in</w:t>
      </w:r>
    </w:p>
    <w:p>
      <w:pPr>
        <w:jc w:val="both"/>
      </w:pPr>
      <w:r>
        <w:t>Chapter 2.</w:t>
      </w:r>
    </w:p>
    <w:p>
      <w:pPr>
        <w:pStyle w:val="Heading3"/>
      </w:pPr>
      <w:r>
        <w:t>3. Chapter 13 has two owners</w:t>
      </w:r>
    </w:p>
    <w:p>
      <w:pPr>
        <w:jc w:val="both"/>
      </w:pPr>
      <w:r>
        <w:t>Tiainen and Jaatinen-Värri both. That is the arrangement the rule exists to prevent, unless</w:t>
      </w:r>
    </w:p>
    <w:p>
      <w:pPr>
        <w:jc w:val="both"/>
      </w:pPr>
      <w:r>
        <w:t>they are treated as one unit with one of them named as the contact, in the way Sopanen's</w:t>
      </w:r>
    </w:p>
    <w:p>
      <w:pPr>
        <w:jc w:val="both"/>
      </w:pPr>
      <w:r>
        <w:t>group is.</w:t>
      </w:r>
    </w:p>
    <w:p>
      <w:pPr>
        <w:jc w:val="both"/>
      </w:pPr>
      <w:r>
        <w:t>There is a second mismatch underneath it. They are turbomachinery people and the chapter's</w:t>
      </w:r>
    </w:p>
    <w:p>
      <w:pPr>
        <w:jc w:val="both"/>
      </w:pPr>
      <w:r>
        <w:t>first section is the measured performance of an electrical machine. They are the right</w:t>
      </w:r>
    </w:p>
    <w:p>
      <w:pPr>
        <w:jc w:val="both"/>
      </w:pPr>
      <w:r>
        <w:t>authors for the driven machine and the wrong ones for the motor. Section 1 above resolves</w:t>
      </w:r>
    </w:p>
    <w:p>
      <w:pPr>
        <w:jc w:val="both"/>
      </w:pPr>
      <w:r>
        <w:t>both: the authors own it, and the turbomachinery pair write the compressor and ORC side as</w:t>
      </w:r>
    </w:p>
    <w:p>
      <w:pPr>
        <w:jc w:val="both"/>
      </w:pPr>
      <w:r>
        <w:t>co-authors.</w:t>
      </w:r>
    </w:p>
    <w:p>
      <w:pPr>
        <w:pStyle w:val="Heading3"/>
      </w:pPr>
      <w:r>
        <w:t>4. Nobody owns the aerodynamic losses of Chapter 9</w:t>
      </w:r>
    </w:p>
    <w:p>
      <w:pPr>
        <w:jc w:val="both"/>
      </w:pPr>
      <w:r>
        <w:t xml:space="preserve">The chapter is </w:t>
      </w:r>
      <w:r>
        <w:rPr>
          <w:i/>
        </w:rPr>
        <w:t>Core, rotor and aerodynamic losses</w:t>
      </w:r>
      <w:r>
        <w:t xml:space="preserve"> and Rasilo is a core-loss and</w:t>
      </w:r>
    </w:p>
    <w:p>
      <w:pPr>
        <w:jc w:val="both"/>
      </w:pPr>
      <w:r>
        <w:t>magnetic-materials specialist. Windage and Taylor–Couette flow are not his field, and it</w:t>
      </w:r>
    </w:p>
    <w:p>
      <w:pPr>
        <w:jc w:val="both"/>
      </w:pPr>
      <w:r>
        <w:t>would be unfair to hand them to him inside a chapter he owns.</w:t>
      </w:r>
    </w:p>
    <w:p>
      <w:pPr>
        <w:jc w:val="both"/>
      </w:pPr>
      <w:r>
        <w:t>Two ways out. Either he recruits Saari for §9.8, which is what the model is for and what</w:t>
      </w:r>
    </w:p>
    <w:p>
      <w:pPr>
        <w:jc w:val="both"/>
      </w:pPr>
      <w:r>
        <w:t>Saari has said he would like. Or the aerodynamic material moves into Chapter 10, where the</w:t>
      </w:r>
    </w:p>
    <w:p>
      <w:pPr>
        <w:jc w:val="both"/>
      </w:pPr>
      <w:r>
        <w:t>air-gap flow is already treated as one problem producing both windage and convection, and</w:t>
      </w:r>
    </w:p>
    <w:p>
      <w:pPr>
        <w:jc w:val="both"/>
      </w:pPr>
      <w:r>
        <w:t xml:space="preserve">Chapter 9 becomes </w:t>
      </w:r>
      <w:r>
        <w:rPr>
          <w:i/>
        </w:rPr>
        <w:t>Core and rotor losses at high speed</w:t>
      </w:r>
      <w:r>
        <w:t>. The second is cleaner physically</w:t>
      </w:r>
    </w:p>
    <w:p>
      <w:pPr>
        <w:jc w:val="both"/>
      </w:pPr>
      <w:r>
        <w:t>and the proposal already argues for it; the first is easier and keeps Saari's name in the</w:t>
      </w:r>
    </w:p>
    <w:p>
      <w:pPr>
        <w:jc w:val="both"/>
      </w:pPr>
      <w:r>
        <w:t>book if he declines Chapter 2.</w:t>
      </w:r>
    </w:p>
    <w:p>
      <w:pPr>
        <w:pStyle w:val="Heading3"/>
      </w:pPr>
      <w:r>
        <w:t>Smaller points</w:t>
      </w:r>
    </w:p>
    <w:p>
      <w:pPr>
        <w:pStyle w:val="ListBullet"/>
      </w:pPr>
      <w:r>
        <w:rPr>
          <w:b/>
        </w:rPr>
        <w:t>Chapter 3</w:t>
      </w:r>
      <w:r>
        <w:t xml:space="preserve"> is marked "authors, plus perhaps someone for each machine type". Four or</w:t>
      </w:r>
    </w:p>
    <w:p>
      <w:pPr>
        <w:jc w:val="both"/>
      </w:pPr>
      <w:r>
        <w:t>five outside hands in one chapter is how the earlier problem started. Ikäheimo on the</w:t>
      </w:r>
    </w:p>
    <w:p>
      <w:pPr>
        <w:jc w:val="both"/>
      </w:pPr>
      <w:r>
        <w:t>induction machines is enough; anyone further should be his recruit, not a separate one.</w:t>
      </w:r>
    </w:p>
    <w:p>
      <w:pPr>
        <w:pStyle w:val="ListBullet"/>
      </w:pPr>
      <w:r>
        <w:rPr>
          <w:b/>
        </w:rPr>
        <w:t>Belahcen</w:t>
      </w:r>
      <w:r>
        <w:t xml:space="preserve"> was told he could lead one or two chapters on winding losses and on core and</w:t>
      </w:r>
    </w:p>
    <w:p>
      <w:pPr>
        <w:jc w:val="both"/>
      </w:pPr>
      <w:r>
        <w:t>rotor losses. He now has one. That is within what the email said, but he should hear it</w:t>
      </w:r>
    </w:p>
    <w:p>
      <w:pPr>
        <w:jc w:val="both"/>
      </w:pPr>
      <w:r>
        <w:t>from us rather than discover it in the table of contents, and Rasilo's name should be</w:t>
      </w:r>
    </w:p>
    <w:p>
      <w:pPr>
        <w:jc w:val="both"/>
      </w:pPr>
      <w:r>
        <w:t>mentioned to him before it is fixed.</w:t>
      </w:r>
    </w:p>
    <w:p>
      <w:pPr>
        <w:pStyle w:val="ListBullet"/>
      </w:pPr>
      <w:r>
        <w:rPr>
          <w:b/>
        </w:rPr>
        <w:t>Splitting the drive chapter</w:t>
      </w:r>
      <w:r>
        <w:t xml:space="preserve"> reintroduces the converter-and-control boundary the book</w:t>
      </w:r>
    </w:p>
    <w:p>
      <w:pPr>
        <w:jc w:val="both"/>
      </w:pPr>
      <w:r>
        <w:t>criticises elsewhere. Worth accepting for a named control owner, but Chapter 12 should</w:t>
      </w:r>
    </w:p>
    <w:p>
      <w:pPr>
        <w:jc w:val="both"/>
      </w:pPr>
      <w:r>
        <w:t>open by saying it continues Chapter 11, and the section matching each machine to its</w:t>
      </w:r>
    </w:p>
    <w:p>
      <w:pPr>
        <w:jc w:val="both"/>
      </w:pPr>
      <w:r>
        <w:t>converter should sit in one chapter, not be divided between them.</w:t>
      </w:r>
    </w:p>
    <w:p>
      <w:pPr>
        <w:pStyle w:val="Heading2"/>
      </w:pPr>
      <w:r>
        <w:t>Chapter 9 after Paavo Rasilo's decline (20 September 2026)</w:t>
      </w:r>
    </w:p>
    <w:p>
      <w:pPr>
        <w:jc w:val="both"/>
      </w:pPr>
      <w:r>
        <w:t>He declined on time — the CoE and an ERC project — and added that he sees himself as a</w:t>
      </w:r>
    </w:p>
    <w:p>
      <w:pPr>
        <w:jc w:val="both"/>
      </w:pPr>
      <w:r>
        <w:t>generalist and a modeller rather than a designer, doubting he had enough to say about</w:t>
      </w:r>
    </w:p>
    <w:p>
      <w:pPr>
        <w:jc w:val="both"/>
      </w:pPr>
      <w:r>
        <w:t>machine design or the manufacturing effects on losses. He suggested Anouar Belahcen and</w:t>
      </w:r>
    </w:p>
    <w:p>
      <w:pPr>
        <w:jc w:val="both"/>
      </w:pPr>
      <w:r>
        <w:t>Floran (presumably Floran Martin, Aalto).</w:t>
      </w:r>
    </w:p>
    <w:p>
      <w:pPr>
        <w:jc w:val="both"/>
      </w:pPr>
      <w:r>
        <w:t>**Recommendation: offer Chapter 9 to Anouar Belahcen as well as Chapter 8, and let him</w:t>
      </w:r>
    </w:p>
    <w:p>
      <w:pPr>
        <w:jc w:val="both"/>
      </w:pPr>
      <w:r>
        <w:t>bring Floran Martin as co-author.** Three reasons.</w:t>
      </w:r>
    </w:p>
    <w:p>
      <w:pPr>
        <w:jc w:val="both"/>
      </w:pPr>
      <w:r>
        <w:t>1. It repairs a defect that already exists. Belahcen's support letter argues that</w:t>
      </w:r>
    </w:p>
    <w:p>
      <w:pPr>
        <w:jc w:val="both"/>
      </w:pPr>
      <w:r>
        <w:t>mains-frequency loss models do not extrapolate, that loss separation loses meaning as</w:t>
      </w:r>
    </w:p>
    <w:p>
      <w:pPr>
        <w:jc w:val="both"/>
      </w:pPr>
      <w:r>
        <w:t>frequency rises, and that the degradation from cutting, punching and stacking is itself</w:t>
      </w:r>
    </w:p>
    <w:p>
      <w:pPr>
        <w:jc w:val="both"/>
      </w:pPr>
      <w:r>
        <w:t>frequency dependent. That is Chapter 9's premise, not Chapter 8's — his letter was</w:t>
      </w:r>
    </w:p>
    <w:p>
      <w:pPr>
        <w:jc w:val="both"/>
      </w:pPr>
      <w:r>
        <w:t>written before Chapter 9 was given away. Give him Chapter 9 and the letter becomes</w:t>
      </w:r>
    </w:p>
    <w:p>
      <w:pPr>
        <w:jc w:val="both"/>
      </w:pPr>
      <w:r>
        <w:t>correct as it stands; leave things as they are and it has to be rewritten around skin</w:t>
      </w:r>
    </w:p>
    <w:p>
      <w:pPr>
        <w:jc w:val="both"/>
      </w:pPr>
      <w:r>
        <w:t>effect, transposition, litz and hairpin conductors.</w:t>
      </w:r>
    </w:p>
    <w:p>
      <w:pPr>
        <w:jc w:val="both"/>
      </w:pPr>
      <w:r>
        <w:t>2. Chapters 8 and 9 are the two loss chapters and each cites the other's budget. One owner</w:t>
      </w:r>
    </w:p>
    <w:p>
      <w:pPr>
        <w:jc w:val="both"/>
      </w:pPr>
      <w:r>
        <w:t>removes a seam that would otherwise need reconciling by us.</w:t>
      </w:r>
    </w:p>
    <w:p>
      <w:pPr>
        <w:jc w:val="both"/>
      </w:pPr>
      <w:r>
        <w:t>3. Floran Martin works on magnetic materials and loss modelling in that orbit, so the</w:t>
      </w:r>
    </w:p>
    <w:p>
      <w:pPr>
        <w:jc w:val="both"/>
      </w:pPr>
      <w:r>
        <w:t>co-author Paavo named arrives through Anouar rather than through a cold approach from us.</w:t>
      </w:r>
    </w:p>
    <w:p>
      <w:pPr>
        <w:jc w:val="both"/>
      </w:pPr>
      <w:r>
        <w:t>The cost is 58 pages under one owner. Sopanen already carries 96, so there is precedent.</w:t>
      </w:r>
    </w:p>
    <w:p>
      <w:pPr>
        <w:jc w:val="both"/>
      </w:pPr>
      <w:r>
        <w:t>The alternative is to approach Floran Martin directly as owner, with Paavo's name as the</w:t>
      </w:r>
    </w:p>
    <w:p>
      <w:pPr>
        <w:jc w:val="both"/>
      </w:pPr>
      <w:r>
        <w:t>introduction. That spreads the load and puts a new name on the proposal, which reviewers</w:t>
      </w:r>
    </w:p>
    <w:p>
      <w:pPr>
        <w:jc w:val="both"/>
      </w:pPr>
      <w:r>
        <w:t>like, but it leaves Belahcen's letter needing a rewrite and adds a cold contact at a late</w:t>
      </w:r>
    </w:p>
    <w:p>
      <w:pPr>
        <w:jc w:val="both"/>
      </w:pPr>
      <w:r>
        <w:t>stage.</w:t>
      </w:r>
    </w:p>
    <w:p>
      <w:pPr>
        <w:jc w:val="both"/>
      </w:pPr>
      <w:r>
        <w:rPr>
          <w:b/>
        </w:rPr>
        <w:t>Until this is settled, no table of contents may be sent to anyone</w:t>
      </w:r>
      <w:r>
        <w:t>: both</w:t>
      </w:r>
    </w:p>
    <w:p>
      <w:pPr>
        <w:jc w:val="both"/>
      </w:pPr>
      <w:r>
        <w:t>`to_send/Annotated_Table_of_Contents.docx` and Juha's revision name Paavo Rasilo in the</w:t>
      </w:r>
    </w:p>
    <w:p>
      <w:pPr>
        <w:jc w:val="both"/>
      </w:pPr>
      <w:r>
        <w:t>ownership table and again in the Chapter 9 budget line.</w:t>
      </w:r>
    </w:p>
    <w:p>
      <w:pPr>
        <w:pStyle w:val="Heading2"/>
      </w:pPr>
      <w:r>
        <w:t>Chapter 2 confirmed (22 September 2026)</w:t>
      </w:r>
    </w:p>
    <w:p>
      <w:pPr>
        <w:jc w:val="both"/>
      </w:pPr>
      <w:r>
        <w:t>Juha Saari accepted Chapter 2 and returned the first signed letter of the set. Two things</w:t>
      </w:r>
    </w:p>
    <w:p>
      <w:pPr>
        <w:jc w:val="both"/>
      </w:pPr>
      <w:r>
        <w:t>follow for the proposal.</w:t>
      </w:r>
    </w:p>
    <w:p>
      <w:pPr>
        <w:jc w:val="both"/>
      </w:pPr>
      <w:r>
        <w:t xml:space="preserve">His title is </w:t>
      </w:r>
      <w:r>
        <w:rPr>
          <w:b/>
        </w:rPr>
        <w:t>Co-Founder, Upheat Solutions</w:t>
      </w:r>
      <w:r>
        <w:t>, not an employee of Upheat — better than we</w:t>
      </w:r>
    </w:p>
    <w:p>
      <w:pPr>
        <w:jc w:val="both"/>
      </w:pPr>
      <w:r>
        <w:t>assumed, and worth stating that way in the contributor list once he confirms. The annotated</w:t>
      </w:r>
    </w:p>
    <w:p>
      <w:pPr>
        <w:jc w:val="both"/>
      </w:pPr>
      <w:r>
        <w:t>table of contents says "Owner: J. Saari of Upheat"; make it Upheat Solutions.</w:t>
      </w:r>
    </w:p>
    <w:p>
      <w:pPr>
        <w:jc w:val="both"/>
      </w:pPr>
      <w:r>
        <w:t>He will choose co-authors after the section structure exists, not before, so Chapter 2 goes</w:t>
      </w:r>
    </w:p>
    <w:p>
      <w:pPr>
        <w:jc w:val="both"/>
      </w:pPr>
      <w:r>
        <w:t>into the proposal with one named owner and co-authors to be named. That is the honest</w:t>
      </w:r>
    </w:p>
    <w:p>
      <w:pPr>
        <w:jc w:val="both"/>
      </w:pPr>
      <w:r>
        <w:t>position and does not weaken it.</w:t>
      </w:r>
    </w:p>
    <w:p>
      <w:pPr>
        <w:pStyle w:val="Heading2"/>
      </w:pPr>
      <w:r>
        <w:t>Specific speed belongs to the Introduction (6 October 2026)</w:t>
      </w:r>
    </w:p>
    <w:p>
      <w:pPr>
        <w:jc w:val="both"/>
      </w:pPr>
      <w:r>
        <w:t>Ahti Jaatinen-Värri's specific-speed text goes into Chapter 1 in full, as a new §1.1.2. It is</w:t>
      </w:r>
    </w:p>
    <w:p>
      <w:pPr>
        <w:jc w:val="both"/>
      </w:pPr>
      <w:r>
        <w:t>the book's only treatment of the subject.</w:t>
      </w:r>
    </w:p>
    <w:p>
      <w:pPr>
        <w:jc w:val="both"/>
      </w:pPr>
      <w:r>
        <w:rPr>
          <w:b/>
        </w:rPr>
        <w:t>Chapter 2 stays Juha Saari's entire</w:t>
      </w:r>
      <w:r>
        <w:t>, as agreed with him. Its §2.2 was "Why the driven</w:t>
      </w:r>
    </w:p>
    <w:p>
      <w:pPr>
        <w:jc w:val="both"/>
      </w:pPr>
      <w:r>
        <w:t>machine sets the speed: specific speed and the turbomachinery optimum" and would have</w:t>
      </w:r>
    </w:p>
    <w:p>
      <w:pPr>
        <w:jc w:val="both"/>
      </w:pPr>
      <w:r>
        <w:t>duplicated the derivation; it is retitled "From duty to speed: where the industrial</w:t>
      </w:r>
    </w:p>
    <w:p>
      <w:pPr>
        <w:jc w:val="both"/>
      </w:pPr>
      <w:r>
        <w:t>applications fall in the specific-speed bands", takes (1.1) as given from §1.1.2, and asks</w:t>
      </w:r>
    </w:p>
    <w:p>
      <w:pPr>
        <w:jc w:val="both"/>
      </w:pPr>
      <w:r>
        <w:t>instead where each industrial duty falls against it. The owner note no longer asks Saari to</w:t>
      </w:r>
    </w:p>
    <w:p>
      <w:pPr>
        <w:jc w:val="both"/>
      </w:pPr>
      <w:r>
        <w:t>recruit a co-author for that section — he does not need one now.</w:t>
      </w:r>
    </w:p>
    <w:p>
      <w:pPr>
        <w:jc w:val="both"/>
      </w:pPr>
      <w:r>
        <w:t>That is the better division in any case. Deriving Ns is not what Saari brings to the book;</w:t>
      </w:r>
    </w:p>
    <w:p>
      <w:pPr>
        <w:jc w:val="both"/>
      </w:pPr>
      <w:r>
        <w:t>knowing which duty lands where, and what it costs in machine terms, is.</w:t>
      </w:r>
    </w:p>
    <w:p>
      <w:pPr>
        <w:jc w:val="both"/>
      </w:pPr>
      <w:r>
        <w:rPr>
          <w:b/>
        </w:rPr>
        <w:t>Ahti's own section is Chapter 13</w:t>
      </w:r>
      <w:r>
        <w:t>, held jointly with Jonna Tiainen. The §1.1.2</w:t>
      </w:r>
    </w:p>
    <w:p>
      <w:pPr>
        <w:jc w:val="both"/>
      </w:pPr>
      <w:r>
        <w:t>contribution is separate from it and additional to it, and he is named at the head of</w:t>
      </w:r>
    </w:p>
    <w:p>
      <w:pPr>
        <w:jc w:val="both"/>
      </w:pPr>
      <w:r>
        <w:t>Chapter 1 for it. The owners table carries both rows.</w:t>
      </w:r>
    </w:p>
    <w:p>
      <w:pPr>
        <w:jc w:val="both"/>
      </w:pPr>
      <w:r>
        <w:t>Chapter 1 goes from 26 to 28 pages and from 4 to 5 tables; the book total from 452 to 454.</w:t>
      </w:r>
    </w:p>
    <w:p>
      <w:pPr>
        <w:jc w:val="both"/>
      </w:pPr>
      <w:r>
        <w:t>Two things to carry forward. Saari holds a table of contents with the old §2.2 title, so the</w:t>
      </w:r>
    </w:p>
    <w:p>
      <w:pPr>
        <w:jc w:val="both"/>
      </w:pPr>
      <w:r>
        <w:t>detailed section structure he is waiting for must carry the new wording and the covering note</w:t>
      </w:r>
    </w:p>
    <w:p>
      <w:pPr>
        <w:jc w:val="both"/>
      </w:pPr>
      <w:r>
        <w:t>should say so — nothing starts before a contract, so nothing is at risk, but he should see</w:t>
      </w:r>
    </w:p>
    <w:p>
      <w:pPr>
        <w:jc w:val="both"/>
      </w:pPr>
      <w:r>
        <w:t>the change rather than find it. And the turbine convention for the volume flow in (1.1) is</w:t>
      </w:r>
    </w:p>
    <w:p>
      <w:pPr>
        <w:jc w:val="both"/>
      </w:pPr>
      <w:r>
        <w:t>still unanswered by Ahti; §1.1.2 needs it, because the book applies (1.1) to ORC turbines and</w:t>
      </w:r>
    </w:p>
    <w:p>
      <w:pPr>
        <w:jc w:val="both"/>
      </w:pPr>
      <w:r>
        <w:t>turbo-expanders as well as to compressors.</w:t>
      </w:r>
    </w:p>
    <w:p>
      <w:pPr>
        <w:pStyle w:val="Heading2"/>
      </w:pPr>
      <w:r>
        <w:t>Chapter 9 is open, and Anouar's letter names it (7 October 2026)</w:t>
      </w:r>
    </w:p>
    <w:p>
      <w:pPr>
        <w:jc w:val="both"/>
      </w:pPr>
      <w:r>
        <w:t>Anouar Belahcen's signed letter is dated 3 September, four days before the fourteen-chapter</w:t>
      </w:r>
    </w:p>
    <w:p>
      <w:pPr>
        <w:jc w:val="both"/>
      </w:pPr>
      <w:r>
        <w:t>restructure gave Chapter 9 to Paavo Rasilo. It keeps our draft's chapter sentence word for</w:t>
      </w:r>
    </w:p>
    <w:p>
      <w:pPr>
        <w:jc w:val="both"/>
      </w:pPr>
      <w:r>
        <w:t>word: "the loss chapters of the book, on AC winding losses and conductor design and on the</w:t>
      </w:r>
    </w:p>
    <w:p>
      <w:pPr>
        <w:jc w:val="both"/>
      </w:pPr>
      <w:r>
        <w:t>core, rotor and aerodynamic losses". That matched the invitation, which offered him "one or two</w:t>
      </w:r>
    </w:p>
    <w:p>
      <w:pPr>
        <w:jc w:val="both"/>
      </w:pPr>
      <w:r>
        <w:t>chapters" on the losses.</w:t>
      </w:r>
    </w:p>
    <w:p>
      <w:pPr>
        <w:jc w:val="both"/>
      </w:pPr>
      <w:r>
        <w:t>Chapter 9 has never been discussed with him: not its move to Paavo, and not, since Paavo's</w:t>
      </w:r>
    </w:p>
    <w:p>
      <w:pPr>
        <w:jc w:val="both"/>
      </w:pPr>
      <w:r>
        <w:t>decline, who replaces him. That is for the editors to decide on 7 October, among three options:</w:t>
      </w:r>
    </w:p>
    <w:p>
      <w:pPr>
        <w:pStyle w:val="ListBullet"/>
      </w:pPr>
      <w:r>
        <w:rPr>
          <w:b/>
        </w:rPr>
        <w:t>A.</w:t>
      </w:r>
      <w:r>
        <w:t xml:space="preserve"> Anouar takes Chapter 9 as well as Chapter 8, with Floran Martin as his co-author if he wants one.</w:t>
      </w:r>
    </w:p>
    <w:p>
      <w:pPr>
        <w:pStyle w:val="ListBullet"/>
      </w:pPr>
      <w:r>
        <w:rPr>
          <w:b/>
        </w:rPr>
        <w:t>B.</w:t>
      </w:r>
      <w:r>
        <w:t xml:space="preserve"> Floran Martin owns Chapter 9, introduced with Paavo's name.</w:t>
      </w:r>
    </w:p>
    <w:p>
      <w:pPr>
        <w:pStyle w:val="ListBullet"/>
      </w:pPr>
      <w:r>
        <w:rPr>
          <w:b/>
        </w:rPr>
        <w:t>C.</w:t>
      </w:r>
      <w:r>
        <w:t xml:space="preserve"> The editors take Chapter 9, with Ilya on the rotor losses.</w:t>
      </w:r>
    </w:p>
    <w:p>
      <w:pPr>
        <w:jc w:val="both"/>
      </w:pPr>
      <w:r>
        <w:t>The letter stands as written under A, or under B or C if Anouar still writes part of Chapter 9.</w:t>
      </w:r>
    </w:p>
    <w:p>
      <w:pPr>
        <w:jc w:val="both"/>
      </w:pPr>
      <w:r>
        <w:t>Otherwise its chapter sentence must change. Whichever is chosen, he should hear it from us</w:t>
      </w:r>
    </w:p>
    <w:p>
      <w:pPr>
        <w:jc w:val="both"/>
      </w:pPr>
      <w:r>
        <w:t>before the table of contents is fixed.</w:t>
      </w:r>
    </w:p>
    <w:p>
      <w:pPr>
        <w:pStyle w:val="Heading2"/>
      </w:pPr>
      <w:r>
        <w:t>Chapter 9 goes to the editors (26 October 2026)</w:t>
      </w:r>
    </w:p>
    <w:p>
      <w:pPr>
        <w:jc w:val="both"/>
      </w:pPr>
      <w:r>
        <w:t>Ilya invited Ion Boldea, who was the opponent at his doctoral defence, to contribute a</w:t>
      </w:r>
    </w:p>
    <w:p>
      <w:pPr>
        <w:jc w:val="both"/>
      </w:pPr>
      <w:r>
        <w:t>chapter. He declined: his own experiments stop at 12 000 r/min, and he has worked on</w:t>
      </w:r>
    </w:p>
    <w:p>
      <w:pPr>
        <w:jc w:val="both"/>
      </w:pPr>
      <w:r>
        <w:t>very-high-speed machines only sparsely. He suggested Prof. Francesco Cupertino (University of</w:t>
      </w:r>
    </w:p>
    <w:p>
      <w:pPr>
        <w:jc w:val="both"/>
      </w:pPr>
      <w:r>
        <w:t>Bari) and Dr. Chris Gerada (University of Nottingham), and asked that Juha write to them</w:t>
      </w:r>
    </w:p>
    <w:p>
      <w:pPr>
        <w:jc w:val="both"/>
      </w:pPr>
      <w:r>
        <w:t>directly.</w:t>
      </w:r>
    </w:p>
    <w:p>
      <w:pPr>
        <w:jc w:val="both"/>
      </w:pPr>
      <w:r>
        <w:t>The editors will write Chapter 9 themselves, with Ilya leading the rotor losses of §9.5–9.7.</w:t>
      </w:r>
    </w:p>
    <w:p>
      <w:pPr>
        <w:jc w:val="both"/>
      </w:pPr>
      <w:r>
        <w:t>The table of contents names the authors for Chapter 9 in all three places, and Paavo</w:t>
      </w:r>
    </w:p>
    <w:p>
      <w:pPr>
        <w:jc w:val="both"/>
      </w:pPr>
      <w:r>
        <w:t>Rasilo's name is gone from it. Floran Martin is not approached.</w:t>
      </w:r>
    </w:p>
    <w:p>
      <w:pPr>
        <w:jc w:val="both"/>
      </w:pPr>
      <w:r>
        <w:t>Three things follow:</w:t>
      </w:r>
    </w:p>
    <w:p>
      <w:pPr>
        <w:pStyle w:val="ListBullet"/>
      </w:pPr>
      <w:r>
        <w:rPr>
          <w:b/>
        </w:rPr>
        <w:t>Anouar.</w:t>
      </w:r>
      <w:r>
        <w:t xml:space="preserve"> His signed letter of 3 September names both loss chapters, and Chapter 9 is</w:t>
      </w:r>
    </w:p>
    <w:p>
      <w:pPr>
        <w:jc w:val="both"/>
      </w:pPr>
      <w:r>
        <w:t>now ours. He must hear it from us before the table of contents goes out. Then either the</w:t>
      </w:r>
    </w:p>
    <w:p>
      <w:pPr>
        <w:jc w:val="both"/>
      </w:pPr>
      <w:r>
        <w:t>letter's chapter sentence changes to the AC winding losses chapter alone, or his group</w:t>
      </w:r>
    </w:p>
    <w:p>
      <w:pPr>
        <w:jc w:val="both"/>
      </w:pPr>
      <w:r>
        <w:t>writes the materials and manufacturing sections (§9.2–9.3) under us, which keeps the</w:t>
      </w:r>
    </w:p>
    <w:p>
      <w:pPr>
        <w:jc w:val="both"/>
      </w:pPr>
      <w:r>
        <w:t>letter accurate as it stands.</w:t>
      </w:r>
    </w:p>
    <w:p>
      <w:pPr>
        <w:pStyle w:val="ListBullet"/>
      </w:pPr>
      <w:r>
        <w:rPr>
          <w:b/>
        </w:rPr>
        <w:t>Saari.</w:t>
      </w:r>
      <w:r>
        <w:t xml:space="preserve"> On 22 September we promised to tell him who owns Chapter 9, so that his</w:t>
      </w:r>
    </w:p>
    <w:p>
      <w:pPr>
        <w:jc w:val="both"/>
      </w:pPr>
      <w:r>
        <w:t>introduction for the windage section would go to the person carrying it. That is now us,</w:t>
      </w:r>
    </w:p>
    <w:p>
      <w:pPr>
        <w:jc w:val="both"/>
      </w:pPr>
      <w:r>
        <w:t>so §9.8 can be offered to him directly.</w:t>
      </w:r>
    </w:p>
    <w:p>
      <w:pPr>
        <w:pStyle w:val="ListBullet"/>
      </w:pPr>
      <w:r>
        <w:rPr>
          <w:b/>
        </w:rPr>
        <w:t>Boldea's two names.</w:t>
      </w:r>
      <w:r>
        <w:t xml:space="preserve"> They are not needed for Chapter 9. Gerada's group, with its</w:t>
      </w:r>
    </w:p>
    <w:p>
      <w:pPr>
        <w:jc w:val="both"/>
      </w:pPr>
      <w:r>
        <w:t>aerospace machines and test facilities, fits the aerospace section of Chapter 14, which</w:t>
      </w:r>
    </w:p>
    <w:p>
      <w:pPr>
        <w:jc w:val="both"/>
      </w:pPr>
      <w:r>
        <w:t>is Jenni Pippuri-Mäkeläinen's to recruit. Both men are also strong names for the</w:t>
      </w:r>
    </w:p>
    <w:p>
      <w:pPr>
        <w:jc w:val="both"/>
      </w:pPr>
      <w:r>
        <w:t>suggested reviewers that Wiley's proposal form asks for, provided neither is a</w:t>
      </w:r>
    </w:p>
    <w:p>
      <w:pPr>
        <w:jc w:val="both"/>
      </w:pPr>
      <w:r>
        <w:t>contributor.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mbria" w:hAnsi="Cambria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ownership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