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In industry the converter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Gearless industrial units: compressors, aeration blowers, ORC and turbo-expanders · 2.3 Subsea and hermetic process machines · 2.4 Electric traction and the geared high-speed optimum · 2.5 Aerospace and hybrid-electric propulsion · 2.6 e-Turbochargers, turbo-compounding and the &gt;100 000 r/min class · 2.7 Emerging drivers: heat pumps, hydrogen and cryogenic compression, flywheels · 2.8 Architecture selection: total cost of ownership against specific power · 2.9 A survey of built machines: calibrating v_tip, n√P and fP · 2.10 The two running machines specified.</w:t>
      </w:r>
    </w:p>
    <w:p>
      <w:pPr>
        <w:jc w:val="both"/>
      </w:pPr>
      <w:r>
        <w:t>Budget: 34 pages, 18 figures, 3 tables. New: the machine survey and the calibrated criteria; the architecture-selection logic. Contributors: J. Saari (industrial machines); LUT turbomachinery group to be approached for the process side.</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Contributors: J. Nerg lead (thermal networks, cooling architectures, transients), A. Belahcen (magnet temperature and demagnetisation margin), J. Saari (air-gap convection, from the same flow model as the windage of §9.8).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(converter and control), L. Aarniovuori (harmonic losses), with M. Hinkkanen or O. Pyrhönen on control at low pulse ratios.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(compressor case), L. Aarniovuori (loss measurement). New: measured case data.</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2, 9.8, 10.5, 12</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 lead</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w:t>
            </w:r>
          </w:p>
        </w:tc>
        <w:tc>
          <w:tcPr>
            <w:tcW w:type="dxa" w:w="2160"/>
          </w:tcPr>
          <w:p>
            <w:r>
              <w:rPr>
                <w:sz w:val="19"/>
              </w:rPr>
            </w:r>
            <w:r>
              <w:rPr>
                <w:sz w:val="19"/>
              </w:rPr>
              <w:t>to be invited</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