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Attach to every one:</w:t>
      </w:r>
      <w:r>
        <w:t xml:space="preserve"> the draft letter of support, and nothing else for the moment.</w:t>
      </w:r>
    </w:p>
    <w:p>
      <w:pPr>
        <w:jc w:val="both"/>
      </w:pPr>
      <w:r>
        <w:t>Chapter 1 and the annotated table of contents go to the publisher, not to the invitees,</w:t>
      </w:r>
    </w:p>
    <w:p>
      <w:pPr>
        <w:jc w:val="both"/>
      </w:pPr>
      <w:r>
        <w:t>so each email carries its own description of the invitee's part instead. When those</w:t>
      </w:r>
    </w:p>
    <w:p>
      <w:pPr>
        <w:jc w:val="both"/>
      </w:pPr>
      <w:r>
        <w:t>documents do eventually circulate, delete the Status column from the contributor table</w:t>
      </w:r>
    </w:p>
    <w:p>
      <w:pPr>
        <w:jc w:val="both"/>
      </w:pPr>
      <w:r>
        <w:t>first, so that nobody reads that a colleague is "suggested".</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rPr>
          <w:i/>
        </w:rPr>
        <w:t>He agreed to contribute at the CoE meeting, so this confirms rather than asks.</w:t>
      </w:r>
    </w:p>
    <w:p>
      <w:pPr>
        <w:jc w:val="both"/>
      </w:pPr>
      <w:r>
        <w:t>Hello Jussi,</w:t>
      </w:r>
    </w:p>
    <w:p>
      <w:pPr>
        <w:jc w:val="both"/>
      </w:pPr>
      <w:r>
        <w:t>Thank you again for supporting the book idea at the last CoE meeting and for agreeing to contribute. We are now putting the proposal to Wiley-IEEE Press together with Ilya Petrov and Juha Pyrhönen,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rotor stress and magnet retention, rotordynamics and vibration, and the bearings, lubrication and seals of high-speed rotors. That is three chapters, and we certainly do not expect you to write them alone. We would like you to put the team together as you see fit, from your own group and from your wider network of experts. The bearing chapter in particular needs someone with industrial experience of lubrication, bearing life and seals, which is knowledge none of us has and which would make that chapter the one an industrial reader opens first. Everyone who contributes is named at the head of the chapter. Once the publisher has approved the proposal, we will send you the detailed structure and settle the division of work with you.</w:t>
      </w:r>
    </w:p>
    <w:p>
      <w:pPr>
        <w:jc w:val="both"/>
      </w:pPr>
      <w:r>
        <w:t>Two things would help now. Could you write us a short letter of support? We would send it to the publisher together with the proposal, and we think such letters will make the application considerably stronger. A draft is attached, which you are free to change as you wish. And could you tell us whom you would bring in, whether from your group or from outside it? Naming them in the proposal would strengthen it further.</w:t>
      </w:r>
    </w:p>
    <w:p>
      <w:pPr>
        <w:jc w:val="both"/>
      </w:pPr>
      <w:r>
        <w:t>Looking forward to hearing from you.</w:t>
      </w:r>
    </w:p>
    <w:p>
      <w:pPr>
        <w:jc w:val="both"/>
      </w:pPr>
      <w:r>
        <w:t>BR, Hüseyin</w:t>
      </w:r>
    </w:p>
    <w:p>
      <w:r>
        <w:br w:type="page"/>
      </w:r>
    </w:p>
    <w:p>
      <w:pPr>
        <w:pStyle w:val="Heading2"/>
      </w:pPr>
      <w:r>
        <w:t>Juha Saari — industrial applications, windage, compressor case</w:t>
      </w:r>
    </w:p>
    <w:p>
      <w:pPr>
        <w:jc w:val="both"/>
      </w:pPr>
      <w:r>
        <w:t>Hello Juha,</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industrial side, in three places. One chapter covers the applications, the gearless compressors, blowers and ORC units, and the reasons the gearbox disappeared from them. Two later chapters need the windage and the air-gap flow, where we would much rather have your correlations presented by their author than cited by us. And one of the case-study chapters is built on a gearless compressor drive carried from specification to measured performance. You could write these yourself or with colleagues, and everyone who contributes is named at the head of the chapter. Once the publisher has approved the proposal, we will send you the detailed structure.</w:t>
      </w:r>
    </w:p>
    <w:p>
      <w:pPr>
        <w:jc w:val="both"/>
      </w:pPr>
      <w:r>
        <w:t>One question we should settle early. The compressor case rests on measured data, and that machine runs through the whole book. Could you find out what [company] would allow us to publish? If the data cannot be released, we would rather choose a different machine now than late.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Janne Nerg — thermal management and cooling</w:t>
      </w:r>
    </w:p>
    <w:p>
      <w:pPr>
        <w:jc w:val="both"/>
      </w:pPr>
      <w:r>
        <w:t>Hello Janne,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thermal management and cooling, and we would like you to lead it. The thermal problem turns around at high speed: the losses concentrate while the surface that has to reject them shrinks, and the rotor, which is the easy side in an ordinary machine, sits behind a retaining sleeve that the mechanical design requires and that also insulates it. The chapter would cover the heat paths, the stator and rotor cooling architectures, thermal networks and transient behaviour, and the magnet temperature that usually turns out to be the binding constraint. You could write it yourself or with colleagues, and everyone who contributes is named at the head of the chapter. Once the publisher has approved the proposal, we will send you the detailed structure and show how the chapter fits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Pasi Peltoniemi — the drive</w:t>
      </w:r>
    </w:p>
    <w:p>
      <w:pPr>
        <w:jc w:val="both"/>
      </w:pPr>
      <w:r>
        <w:t>Hello Pasi,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gatekeeper that decides which machines can be built at all, so this chapter carries a good part of the argument: the converter interface, silicon against SiC and GaN, DC-link voltage and du/dt, insulation under fast switching, bearing currents, and control at a fundamental frequency high enough that the pulse ratio falls to ten or below. You could write it yourself or with colleagues, and everyone who contributes is named at the head of the chapter. Once the publisher has approved the proposal, we will send you the detailed structure and show how the chapter fits the rest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Lassi Aarniovuori — harmonic losses and high-speed measurement</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on the measurement side, in two sections. One is the harmonic losses that a converter deposits in a rotor which the air gap and the retaining sleeve keep thermally isolated, which is why supply harmonics matter more at high speed than at mains frequency. The other is the test rig, the instrumentation and the loss segregation of a high-speed machine, where the electrical methods run out and calorimetry has to take over; we would like that written in enough detail that a reader can repeat it.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Marko Hinkkanen or Olli Pyrhönen — control at low pulse ratios</w:t>
      </w:r>
    </w:p>
    <w:p>
      <w:pPr>
        <w:jc w:val="both"/>
      </w:pPr>
      <w:r>
        <w:rPr>
          <w:i/>
        </w:rPr>
        <w:t>Send to one of the two, not both.</w:t>
      </w:r>
    </w:p>
    <w:p>
      <w:pPr>
        <w:jc w:val="both"/>
      </w:pPr>
      <w:r>
        <w:t>Hello [Marko],</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contribution would be the control part of the drive chapter: what changes when the fundamental frequency is so high that the pulse ratio falls to ten or below. That means current regulation and overmodulation at low pulse ratios, position sensing and sensorless operation at kilohertz fundamental frequency, and run-up through the critical speeds together with field weakening and protection. The converter part of the same chapter would be written by Pasi Peltoniemi.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Aerospace contributor — high-specific-power generator case study</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book closes with case studies, and one of them should be an aerospace generator, as the extreme of the mass-limited design that runs through the whole text: the specification, the design decisions that differ from those of a traction machine, and the test and qualification programme. Measured data would make the section, but a design study with representative numbers would serve if nothing can be released.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