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or O. Pyrhönen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(compressor case), L. Aarniovuori (loss measurement). New: measured case data.</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2, 9.8, 12</w:t>
            </w:r>
          </w:p>
        </w:tc>
        <w:tc>
          <w:tcPr>
            <w:tcW w:type="dxa" w:w="2160"/>
          </w:tcPr>
          <w:p>
            <w:r>
              <w:rPr>
                <w:sz w:val="19"/>
              </w:rPr>
            </w:r>
            <w:r>
              <w:rPr>
                <w:sz w:val="19"/>
              </w:rPr>
              <w:t>to be invited</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