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2.3, 2.4 and 2.9; §2.2, the aerodynamic case for the speed, goes to the turbomachinery contributors).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Section 10.5 treats the convection in that same air gap at high Taylor and axial Reynolds numbers, so that the gap's two roles, as a loss source and as a heat path, are derived from one flow model instead of two disconnected ones; that section is being written with the turbomachinery contributors, and we would like your correlations to be the machine-side anchor for it.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writing the converter sections yourself: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