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Twelve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Twelve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would value your help in identifying that specialist.</w:t>
      </w:r>
    </w:p>
    <w:p>
      <w:pPr>
        <w:jc w:val="both"/>
      </w:pPr>
      <w:r>
        <w:t>Budget: Chapter 4, 38 pages and 26 figures, of which about 28 pages and 20 figures are the group's; Chapter 5, 30 pages and 20 figures; Chapter 6, 32 pages and 20 figures, of which about 22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Losses, cooling and the thermal budget at kilohertz frequencies, is the chapter in which the assumptions of the earlier book fail most visibly: loss models fitted below 400 Hz do not extrapolate to 2 kHz. We would like you to lead the loss half of that chapter and to act as its scientific lead: 9.1, loss separation above 1 kHz; 9.2, the soft magnetic materials as design choices, thin-gauge silicon iron, cobalt iron, amorphous and composite materials; 9.3, the manufacturing effects that degrade them; and 9.4, measurement and model fitting for high-frequency operation. The rotor-loss sections are written by Ilya Petrov, the windage section by Juha Saari and the thermal-network section by Janne Nerg. Two supporting sections elsewhere would also be yours: 8.6, the AC resistance factor evaluated by finite-element analysis against the analytical models, and 5.7, the electromagnetic force harmonics that excite structural vibration and noise, jointly with Jussi Sopanen's group.</w:t>
      </w:r>
    </w:p>
    <w:p>
      <w:pPr>
        <w:jc w:val="both"/>
      </w:pPr>
      <w:r>
        <w:t>Budget: about 18 pages and 12 figures of Chapter 9's 44 pages and 28 figures; about 4 pages in Chapter 8 and 3 pages in Chapter 5. Chapter owner [Hüseyin Canseven]. First drafts: section 5.7 with Part II at month 11 after contract; Chapters 8 and 9 with Part III at month 15.</w:t>
      </w:r>
    </w:p>
    <w:p>
      <w:pPr>
        <w:pStyle w:val="Heading3"/>
      </w:pPr>
      <w:r>
        <w:t>Juha Saari</w:t>
      </w:r>
    </w:p>
    <w:p>
      <w:pPr>
        <w:jc w:val="both"/>
      </w:pPr>
      <w:r>
        <w:t>Three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to 2.3 and 2.8).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In Chapter 11, the industrial case studies, the gearless compressor drive that serves as the industrial running machine through the whole book, carried from specification to measured performance (11.1), and the qualification against API 617, API 541, IEC 60034-25, ISO 21940 and ISO 20816 (11.5).</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and 14 pages and 10 figures in Chapter 11. Chapter owners [Juha Pyrhönen for Chapters 2 and 11; Hüseyin Canseven for Chapter 9]. First drafts: Chapter 2 at month 6 after contract, Chapter 9 at month 15, Chapter 11 at month 20.</w:t>
      </w:r>
    </w:p>
    <w:p>
      <w:pPr>
        <w:pStyle w:val="Heading3"/>
      </w:pPr>
      <w:r>
        <w:t>Pasi Peltoniemi</w:t>
      </w:r>
    </w:p>
    <w:p>
      <w:pPr>
        <w:jc w:val="both"/>
      </w:pPr>
      <w:r>
        <w:t>Chapter 10, The drive: converter interface and control at high fundamental frequency, is the chapter the book's argument rests on: the converter is presented throughout as the gatekeeper that decides which region of the design space a machine can reach at all. We would like you to lead it: 10.1, modulation ratio and synchronous PWM; 10.3, silicon, SiC and GaN devices compared on switching-loss economics; 10.4, DC-link voltage, du/dt and output filters; 10.5, insulation under fast switching, including partial-discharge inception and Type II insulation systems; 10.6, bearing currents and their mitigation; 10.7, converter integration and EMC; and 10.11, the co-design of the two running machines with their converters, jointly with us. Lassi Aarniovuori writes 10.2 on current harmonics and rotor heating, and [Marko Hinkkanen / Olli Pyrhönen] the control sections 10.8 to 10.10.</w:t>
      </w:r>
    </w:p>
    <w:p>
      <w:pPr>
        <w:jc w:val="both"/>
      </w:pPr>
      <w:r>
        <w:t>Budget: about 26 pages and 18 figures of the chapter's 42 pages and 28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10.2, current harmonics and rotor heating: why converter harmonics matter more at high speed, because they are deposited in a rotor that the air gap thermally isolates, with the measured harmonic losses of converter-fed machines. Section 11.4,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10, and 6 pages and 5 figures in Chapter 11. Chapter owners [Hüseyin Canseven for Chapter 10; Juha Pyrhönen for Chapter 11]. First drafts with Part IV at month 20 after contract.</w:t>
      </w:r>
    </w:p>
    <w:p>
      <w:pPr>
        <w:pStyle w:val="Heading3"/>
      </w:pPr>
      <w:r>
        <w:t>Janne Nerg</w:t>
      </w:r>
    </w:p>
    <w:p>
      <w:pPr>
        <w:jc w:val="both"/>
      </w:pPr>
      <w:r>
        <w:t>Section 9.9, cooling architectures and thermal networks: water jackets, in-slot and direct winding cooling, rotor and hollow-shaft cooling, and lumped-parameter thermal networks built with the air gap as a heat source rather than a passive resistance; and, jointly with us, 9.10, magnet temperature and the loss budget of the two running machines, which is where the chapter's models meet the two designs.</w:t>
      </w:r>
    </w:p>
    <w:p>
      <w:pPr>
        <w:jc w:val="both"/>
      </w:pPr>
      <w:r>
        <w:t>Budget: about 8 pages and 5 figures. Chapter owner [Hüseyin Canseven]; the loss sections of the chapter are led by Anouar Belahcen. First draft with Part III at month 15 after contract.</w:t>
      </w:r>
    </w:p>
    <w:p>
      <w:pPr>
        <w:pStyle w:val="Heading3"/>
      </w:pPr>
      <w:r>
        <w:t>[Marko Hinkkanen / Olli Pyrhönen]</w:t>
      </w:r>
    </w:p>
    <w:p>
      <w:pPr>
        <w:jc w:val="both"/>
      </w:pPr>
      <w:r>
        <w:t>The control half of Chapter 10: what changes when the pulse ratio falls to ten or below. Section 10.8, current regulation, overmodulation and six-step operation at low pulse ratios; 10.9, position sensing and sensorless operation at kilohertz fundamental frequency; and 10.10, run-up through critical speeds, field weakening and protection. The converter half of the chapter is led by Pasi Peltoniemi.</w:t>
      </w:r>
    </w:p>
    <w:p>
      <w:pPr>
        <w:jc w:val="both"/>
      </w:pPr>
      <w:r>
        <w:t>Budget: about 11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10 pages and 6 figures. Chapter owner [Ilya Petrov]. First draft with Part II at month 11 after contract.</w:t>
      </w:r>
    </w:p>
    <w:p>
      <w:pPr>
        <w:pStyle w:val="Heading3"/>
      </w:pPr>
      <w:r>
        <w:t>Aerospace contributor [name, organisation]</w:t>
      </w:r>
    </w:p>
    <w:p>
      <w:pPr>
        <w:jc w:val="both"/>
      </w:pPr>
      <w:r>
        <w:t>Section 12.2, a high-specific-power aerospace generator, as the case that shows the extreme of the mass-limited paradigm and the qualification culture of the aerospace industry: the specification, the design decisions that differ from those of the traction machine in 12.1,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[Becky Cowan],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[Ms Cowan],</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