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1 — Record of Changes</w:t>
      </w:r>
    </w:p>
    <w:p>
      <w:pPr>
        <w:jc w:val="both"/>
      </w:pPr>
      <w:r>
        <w:t>Two versions were produced from the 6 110-word draft:</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9"/>
              </w:rPr>
            </w:r>
          </w:p>
        </w:tc>
        <w:tc>
          <w:tcPr>
            <w:tcW w:type="dxa" w:w="1728"/>
          </w:tcPr>
          <w:p>
            <w:r>
              <w:rPr>
                <w:b/>
                <w:sz w:val="19"/>
              </w:rPr>
            </w:r>
            <w:r>
              <w:rPr>
                <w:b/>
                <w:sz w:val="19"/>
              </w:rPr>
              <w:t>Prose words</w:t>
            </w:r>
          </w:p>
        </w:tc>
        <w:tc>
          <w:tcPr>
            <w:tcW w:type="dxa" w:w="1728"/>
          </w:tcPr>
          <w:p>
            <w:r>
              <w:rPr>
                <w:b/>
                <w:sz w:val="19"/>
              </w:rPr>
            </w:r>
            <w:r>
              <w:rPr>
                <w:b/>
                <w:sz w:val="19"/>
              </w:rPr>
              <w:t>Figures</w:t>
            </w:r>
          </w:p>
        </w:tc>
        <w:tc>
          <w:tcPr>
            <w:tcW w:type="dxa" w:w="1728"/>
          </w:tcPr>
          <w:p>
            <w:r>
              <w:rPr>
                <w:b/>
                <w:sz w:val="19"/>
              </w:rPr>
            </w:r>
            <w:r>
              <w:rPr>
                <w:b/>
                <w:sz w:val="19"/>
              </w:rPr>
              <w:t>Est. pages*</w:t>
            </w:r>
          </w:p>
        </w:tc>
        <w:tc>
          <w:tcPr>
            <w:tcW w:type="dxa" w:w="1728"/>
          </w:tcPr>
          <w:p>
            <w:r>
              <w:rPr>
                <w:b/>
                <w:sz w:val="19"/>
              </w:rPr>
            </w:r>
            <w:r>
              <w:rPr>
                <w:b/>
                <w:sz w:val="19"/>
              </w:rPr>
              <w:t>Scope</w:t>
            </w:r>
          </w:p>
        </w:tc>
      </w:tr>
      <w:tr>
        <w:tc>
          <w:tcPr>
            <w:tcW w:type="dxa" w:w="1728"/>
          </w:tcPr>
          <w:p>
            <w:r>
              <w:rPr>
                <w:sz w:val="19"/>
              </w:rPr>
            </w:r>
            <w:r>
              <w:rPr>
                <w:sz w:val="19"/>
              </w:rPr>
              <w:t>Original draft</w:t>
            </w:r>
          </w:p>
        </w:tc>
        <w:tc>
          <w:tcPr>
            <w:tcW w:type="dxa" w:w="1728"/>
          </w:tcPr>
          <w:p>
            <w:r>
              <w:rPr>
                <w:sz w:val="19"/>
              </w:rPr>
            </w:r>
            <w:r>
              <w:rPr>
                <w:sz w:val="19"/>
              </w:rPr>
              <w:t>6 110</w:t>
            </w:r>
          </w:p>
        </w:tc>
        <w:tc>
          <w:tcPr>
            <w:tcW w:type="dxa" w:w="1728"/>
          </w:tcPr>
          <w:p>
            <w:r>
              <w:rPr>
                <w:sz w:val="19"/>
              </w:rPr>
            </w:r>
            <w:r>
              <w:rPr>
                <w:sz w:val="19"/>
              </w:rPr>
              <w:t>4 placeholders</w:t>
            </w:r>
          </w:p>
        </w:tc>
        <w:tc>
          <w:tcPr>
            <w:tcW w:type="dxa" w:w="1728"/>
          </w:tcPr>
          <w:p>
            <w:r>
              <w:rPr>
                <w:sz w:val="19"/>
              </w:rPr>
            </w:r>
            <w:r>
              <w:rPr>
                <w:sz w:val="19"/>
              </w:rPr>
              <w:t>~13</w:t>
            </w:r>
          </w:p>
        </w:tc>
        <w:tc>
          <w:tcPr>
            <w:tcW w:type="dxa" w:w="1728"/>
          </w:tcPr>
          <w:p>
            <w:r>
              <w:rPr>
                <w:sz w:val="19"/>
              </w:rPr>
            </w:r>
            <w:r>
              <w:rPr>
                <w:sz w:val="19"/>
              </w:rPr>
              <w:t>—</w:t>
            </w:r>
          </w:p>
        </w:tc>
      </w:tr>
      <w:tr>
        <w:tc>
          <w:tcPr>
            <w:tcW w:type="dxa" w:w="1728"/>
          </w:tcPr>
          <w:p>
            <w:r>
              <w:rPr>
                <w:sz w:val="19"/>
              </w:rPr>
            </w:r>
            <w:r>
              <w:rPr>
                <w:b/>
                <w:sz w:val="19"/>
              </w:rPr>
              <w:t>MINIMAL</w:t>
            </w:r>
          </w:p>
        </w:tc>
        <w:tc>
          <w:tcPr>
            <w:tcW w:type="dxa" w:w="1728"/>
          </w:tcPr>
          <w:p>
            <w:r>
              <w:rPr>
                <w:sz w:val="19"/>
              </w:rPr>
            </w:r>
            <w:r>
              <w:rPr>
                <w:sz w:val="19"/>
              </w:rPr>
              <w:t>5 544</w:t>
            </w:r>
          </w:p>
        </w:tc>
        <w:tc>
          <w:tcPr>
            <w:tcW w:type="dxa" w:w="1728"/>
          </w:tcPr>
          <w:p>
            <w:r>
              <w:rPr>
                <w:sz w:val="19"/>
              </w:rPr>
            </w:r>
            <w:r>
              <w:rPr>
                <w:sz w:val="19"/>
              </w:rPr>
              <w:t>8 (all supplied)</w:t>
            </w:r>
          </w:p>
        </w:tc>
        <w:tc>
          <w:tcPr>
            <w:tcW w:type="dxa" w:w="1728"/>
          </w:tcPr>
          <w:p>
            <w:r>
              <w:rPr>
                <w:sz w:val="19"/>
              </w:rPr>
            </w:r>
            <w:r>
              <w:rPr>
                <w:b/>
                <w:sz w:val="19"/>
              </w:rPr>
              <w:t>~14</w:t>
            </w:r>
          </w:p>
        </w:tc>
        <w:tc>
          <w:tcPr>
            <w:tcW w:type="dxa" w:w="1728"/>
          </w:tcPr>
          <w:p>
            <w:r>
              <w:rPr>
                <w:sz w:val="19"/>
              </w:rPr>
            </w:r>
            <w:r>
              <w:rPr>
                <w:sz w:val="19"/>
              </w:rPr>
              <w:t>repairs only, original structure kept</w:t>
            </w:r>
          </w:p>
        </w:tc>
      </w:tr>
      <w:tr>
        <w:tc>
          <w:tcPr>
            <w:tcW w:type="dxa" w:w="1728"/>
          </w:tcPr>
          <w:p>
            <w:r>
              <w:rPr>
                <w:sz w:val="19"/>
              </w:rPr>
            </w:r>
            <w:r>
              <w:rPr>
                <w:b/>
                <w:sz w:val="19"/>
              </w:rPr>
              <w:t>FULL</w:t>
            </w:r>
          </w:p>
        </w:tc>
        <w:tc>
          <w:tcPr>
            <w:tcW w:type="dxa" w:w="1728"/>
          </w:tcPr>
          <w:p>
            <w:r>
              <w:rPr>
                <w:sz w:val="19"/>
              </w:rPr>
            </w:r>
            <w:r>
              <w:rPr>
                <w:sz w:val="19"/>
              </w:rPr>
              <w:t>7 940</w:t>
            </w:r>
          </w:p>
        </w:tc>
        <w:tc>
          <w:tcPr>
            <w:tcW w:type="dxa" w:w="1728"/>
          </w:tcPr>
          <w:p>
            <w:r>
              <w:rPr>
                <w:sz w:val="19"/>
              </w:rPr>
            </w:r>
            <w:r>
              <w:rPr>
                <w:sz w:val="19"/>
              </w:rPr>
              <w:t>8 (all supplied)</w:t>
            </w:r>
          </w:p>
        </w:tc>
        <w:tc>
          <w:tcPr>
            <w:tcW w:type="dxa" w:w="1728"/>
          </w:tcPr>
          <w:p>
            <w:r>
              <w:rPr>
                <w:sz w:val="19"/>
              </w:rPr>
            </w:r>
            <w:r>
              <w:rPr>
                <w:b/>
                <w:sz w:val="19"/>
              </w:rPr>
              <w:t>~18</w:t>
            </w:r>
          </w:p>
        </w:tc>
        <w:tc>
          <w:tcPr>
            <w:tcW w:type="dxa" w:w="1728"/>
          </w:tcPr>
          <w:p>
            <w:r>
              <w:rPr>
                <w:sz w:val="19"/>
              </w:rPr>
            </w:r>
            <w:r>
              <w:rPr>
                <w:sz w:val="19"/>
              </w:rPr>
              <w:t>repairs plus restructuring and new material</w:t>
            </w:r>
          </w:p>
        </w:tc>
      </w:tr>
    </w:tbl>
    <w:p>
      <w:pPr>
        <w:spacing w:after="120"/>
      </w:pPr>
    </w:p>
    <w:p>
      <w:pPr>
        <w:jc w:val="both"/>
      </w:pPr>
      <w:r>
        <w:t>\* Wiley's formula: 600 words per page, 2 illustrations per page.</w:t>
      </w:r>
    </w:p>
    <w:p>
      <w:pPr>
        <w:jc w:val="both"/>
      </w:pPr>
      <w:r>
        <w:t>Both versions contain every technical correction. They differ only in structure and depth.</w:t>
      </w:r>
    </w:p>
    <w:p>
      <w:r>
        <w:br w:type="page"/>
      </w:r>
    </w:p>
    <w:p>
      <w:pPr>
        <w:pStyle w:val="Heading2"/>
      </w:pPr>
      <w:r>
        <w:t>A. Technical corrections</w:t>
      </w:r>
    </w:p>
    <w:p>
      <w:pPr>
        <w:pStyle w:val="Heading3"/>
      </w:pPr>
      <w:r>
        <w:t>A1. Table of scaling laws was internally inconsistent — corrected</w:t>
      </w:r>
    </w:p>
    <w:p>
      <w:pPr>
        <w:jc w:val="both"/>
      </w:pPr>
      <w:r>
        <w:t xml:space="preserve">The original Table 1.3 mixed two different scaling paths within one table. The stress row was evaluated at constant tip speed ("if v_tip is fixed") and the power row at reduced diameter ("if D is reduced"), but the iron-loss and windage rows were evaluated at </w:t>
      </w:r>
      <w:r>
        <w:rPr>
          <w:b/>
        </w:rPr>
        <w:t>fixed diameter</w:t>
      </w:r>
      <w:r>
        <w:t xml:space="preserve"> — which contradicts the tip-speed constraint the chapter had just established.</w:t>
      </w:r>
    </w:p>
    <w:p>
      <w:pPr>
        <w:jc w:val="both"/>
      </w:pPr>
      <w:r>
        <w:t>Re-deriving along the tip-speed-limited constant-power path (rotor radius ∝ Ω⁻¹, active length ∝ Ω, so that rated power and peripheral speed are both preserved):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9"/>
              </w:rPr>
            </w:r>
            <w:r>
              <w:rPr>
                <w:b/>
                <w:sz w:val="19"/>
              </w:rPr>
              <w:t>Quantity</w:t>
            </w:r>
          </w:p>
        </w:tc>
        <w:tc>
          <w:tcPr>
            <w:tcW w:type="dxa" w:w="2160"/>
          </w:tcPr>
          <w:p>
            <w:r>
              <w:rPr>
                <w:b/>
                <w:sz w:val="19"/>
              </w:rPr>
            </w:r>
            <w:r>
              <w:rPr>
                <w:b/>
                <w:sz w:val="19"/>
              </w:rPr>
              <w:t>Draft claimed</w:t>
            </w:r>
          </w:p>
        </w:tc>
        <w:tc>
          <w:tcPr>
            <w:tcW w:type="dxa" w:w="2160"/>
          </w:tcPr>
          <w:p>
            <w:r>
              <w:rPr>
                <w:b/>
                <w:sz w:val="19"/>
              </w:rPr>
            </w:r>
            <w:r>
              <w:rPr>
                <w:b/>
                <w:sz w:val="19"/>
              </w:rPr>
              <w:t>Corrected</w:t>
            </w:r>
          </w:p>
        </w:tc>
        <w:tc>
          <w:tcPr>
            <w:tcW w:type="dxa" w:w="2160"/>
          </w:tcPr>
          <w:p>
            <w:r>
              <w:rPr>
                <w:b/>
                <w:sz w:val="19"/>
              </w:rPr>
            </w:r>
            <w:r>
              <w:rPr>
                <w:b/>
                <w:sz w:val="19"/>
              </w:rPr>
              <w:t>Why</w:t>
            </w:r>
          </w:p>
        </w:tc>
      </w:tr>
      <w:tr>
        <w:tc>
          <w:tcPr>
            <w:tcW w:type="dxa" w:w="2160"/>
          </w:tcPr>
          <w:p>
            <w:r>
              <w:rPr>
                <w:sz w:val="19"/>
              </w:rPr>
            </w:r>
            <w:r>
              <w:rPr>
                <w:sz w:val="19"/>
              </w:rPr>
              <w:t>Windage loss</w:t>
            </w:r>
          </w:p>
        </w:tc>
        <w:tc>
          <w:tcPr>
            <w:tcW w:type="dxa" w:w="2160"/>
          </w:tcPr>
          <w:p>
            <w:r>
              <w:rPr>
                <w:sz w:val="19"/>
              </w:rPr>
            </w:r>
            <w:r>
              <w:rPr>
                <w:sz w:val="19"/>
              </w:rPr>
              <w:t>×8</w:t>
            </w:r>
          </w:p>
        </w:tc>
        <w:tc>
          <w:tcPr>
            <w:tcW w:type="dxa" w:w="2160"/>
          </w:tcPr>
          <w:p>
            <w:r>
              <w:rPr>
                <w:sz w:val="19"/>
              </w:rPr>
            </w:r>
            <w:r>
              <w:rPr>
                <w:b/>
                <w:sz w:val="19"/>
              </w:rPr>
              <w:t>×1.00</w:t>
            </w:r>
          </w:p>
        </w:tc>
        <w:tc>
          <w:tcPr>
            <w:tcW w:type="dxa" w:w="2160"/>
          </w:tcPr>
          <w:p>
            <w:r>
              <w:rPr>
                <w:sz w:val="19"/>
              </w:rPr>
            </w:r>
            <w:r>
              <w:rPr>
                <w:sz w:val="19"/>
              </w:rPr>
              <w:t>P_w ∝ D⁴lΩ³ → Ω⁻⁴·Ω·Ω³ = Ω⁰. Physically: shear stress is set by tip speed, which is fixed; rotor surface area D·l is preserved because the diameter reduction and length increase cancel.</w:t>
            </w:r>
          </w:p>
        </w:tc>
      </w:tr>
      <w:tr>
        <w:tc>
          <w:tcPr>
            <w:tcW w:type="dxa" w:w="2160"/>
          </w:tcPr>
          <w:p>
            <w:r>
              <w:rPr>
                <w:sz w:val="19"/>
              </w:rPr>
            </w:r>
            <w:r>
              <w:rPr>
                <w:sz w:val="19"/>
              </w:rPr>
              <w:t>Iron loss</w:t>
            </w:r>
          </w:p>
        </w:tc>
        <w:tc>
          <w:tcPr>
            <w:tcW w:type="dxa" w:w="2160"/>
          </w:tcPr>
          <w:p>
            <w:r>
              <w:rPr>
                <w:sz w:val="19"/>
              </w:rPr>
            </w:r>
            <w:r>
              <w:rPr>
                <w:sz w:val="19"/>
              </w:rPr>
              <w:t>×4</w:t>
            </w:r>
          </w:p>
        </w:tc>
        <w:tc>
          <w:tcPr>
            <w:tcW w:type="dxa" w:w="2160"/>
          </w:tcPr>
          <w:p>
            <w:r>
              <w:rPr>
                <w:sz w:val="19"/>
              </w:rPr>
            </w:r>
            <w:r>
              <w:rPr>
                <w:b/>
                <w:sz w:val="19"/>
              </w:rPr>
              <w:t>×2.00</w:t>
            </w:r>
          </w:p>
        </w:tc>
        <w:tc>
          <w:tcPr>
            <w:tcW w:type="dxa" w:w="2160"/>
          </w:tcPr>
          <w:p>
            <w:r>
              <w:rPr>
                <w:sz w:val="19"/>
              </w:rPr>
            </w:r>
            <w:r>
              <w:rPr>
                <w:sz w:val="19"/>
              </w:rPr>
              <w:t>Loss per unit mass rises as f², but iron mass falls with the halving active volume.</w:t>
            </w:r>
          </w:p>
        </w:tc>
      </w:tr>
      <w:tr>
        <w:tc>
          <w:tcPr>
            <w:tcW w:type="dxa" w:w="2160"/>
          </w:tcPr>
          <w:p>
            <w:r>
              <w:rPr>
                <w:sz w:val="19"/>
              </w:rPr>
            </w:r>
            <w:r>
              <w:rPr>
                <w:sz w:val="19"/>
              </w:rPr>
              <w:t>DC copper loss</w:t>
            </w:r>
          </w:p>
        </w:tc>
        <w:tc>
          <w:tcPr>
            <w:tcW w:type="dxa" w:w="2160"/>
          </w:tcPr>
          <w:p>
            <w:r>
              <w:rPr>
                <w:sz w:val="19"/>
              </w:rPr>
            </w:r>
            <w:r>
              <w:rPr>
                <w:sz w:val="19"/>
              </w:rPr>
              <w:t>"independent of speed"</w:t>
            </w:r>
          </w:p>
        </w:tc>
        <w:tc>
          <w:tcPr>
            <w:tcW w:type="dxa" w:w="2160"/>
          </w:tcPr>
          <w:p>
            <w:r>
              <w:rPr>
                <w:sz w:val="19"/>
              </w:rPr>
            </w:r>
            <w:r>
              <w:rPr>
                <w:b/>
                <w:sz w:val="19"/>
              </w:rPr>
              <w:t>×1.00</w:t>
            </w:r>
          </w:p>
        </w:tc>
        <w:tc>
          <w:tcPr>
            <w:tcW w:type="dxa" w:w="2160"/>
          </w:tcPr>
          <w:p>
            <w:r>
              <w:rPr>
                <w:sz w:val="19"/>
              </w:rPr>
            </w:r>
            <w:r>
              <w:rPr>
                <w:sz w:val="19"/>
              </w:rPr>
              <w:t>Correct in the draft, now derived rather than asserted.</w:t>
            </w:r>
          </w:p>
        </w:tc>
      </w:tr>
      <w:tr>
        <w:tc>
          <w:tcPr>
            <w:tcW w:type="dxa" w:w="2160"/>
          </w:tcPr>
          <w:p>
            <w:r>
              <w:rPr>
                <w:sz w:val="19"/>
              </w:rPr>
            </w:r>
            <w:r>
              <w:rPr>
                <w:sz w:val="19"/>
              </w:rPr>
              <w:t>Rotor surface area</w:t>
            </w:r>
          </w:p>
        </w:tc>
        <w:tc>
          <w:tcPr>
            <w:tcW w:type="dxa" w:w="2160"/>
          </w:tcPr>
          <w:p>
            <w:r>
              <w:rPr>
                <w:sz w:val="19"/>
              </w:rPr>
            </w:r>
            <w:r>
              <w:rPr>
                <w:sz w:val="19"/>
              </w:rPr>
              <w:t>—</w:t>
            </w:r>
          </w:p>
        </w:tc>
        <w:tc>
          <w:tcPr>
            <w:tcW w:type="dxa" w:w="2160"/>
          </w:tcPr>
          <w:p>
            <w:r>
              <w:rPr>
                <w:sz w:val="19"/>
              </w:rPr>
            </w:r>
            <w:r>
              <w:rPr>
                <w:b/>
                <w:sz w:val="19"/>
              </w:rPr>
              <w:t>×1.00</w:t>
            </w:r>
          </w:p>
        </w:tc>
        <w:tc>
          <w:tcPr>
            <w:tcW w:type="dxa" w:w="2160"/>
          </w:tcPr>
          <w:p>
            <w:r>
              <w:rPr>
                <w:sz w:val="19"/>
              </w:rPr>
            </w:r>
            <w:r>
              <w:rPr>
                <w:sz w:val="19"/>
              </w:rPr>
              <w:t>New row; it is the reason the square–cube argument does not apply.</w:t>
            </w:r>
          </w:p>
        </w:tc>
      </w:tr>
    </w:tbl>
    <w:p>
      <w:pPr>
        <w:spacing w:after="120"/>
      </w:pPr>
    </w:p>
    <w:p>
      <w:pPr>
        <w:jc w:val="both"/>
      </w:pPr>
      <w:r>
        <w:t>Verified numerically in `src/verify_scaling.py`; analytic exponents and the numerical model agree exactly.</w:t>
      </w:r>
    </w:p>
    <w:p>
      <w:pPr>
        <w:pStyle w:val="Heading3"/>
      </w:pPr>
      <w:r>
        <w:t>A2. The binding constraint was missing entirely</w:t>
      </w:r>
    </w:p>
    <w:p>
      <w:pPr>
        <w:jc w:val="both"/>
      </w:pPr>
      <w:r>
        <w:t>The draft never quantified the rotordynamic penalty, which is the mechanism that actually stops the pursuit of higher speed. For a rotor treated as a uniform beam, n_cr ∝ r/l². Substituting the same tip-speed-limited path:</w:t>
      </w:r>
    </w:p>
    <w:p>
      <w:pPr>
        <w:spacing w:before="160" w:after="160"/>
        <w:ind w:left="720"/>
      </w:pPr>
      <w:r>
        <w:rPr>
          <w:rFonts w:ascii="Cambria" w:hAnsi="Cambria"/>
          <w:i/>
          <w:sz w:val="22"/>
        </w:rPr>
        <w:t>n_cr ∝ Ω⁻¹/Ω² = Ω⁻³        and therefore        n_op/n_cr ∝ Ω⁴</w:t>
      </w:r>
    </w:p>
    <w:p>
      <w:pPr>
        <w:jc w:val="both"/>
      </w:pPr>
      <w:r>
        <w:rPr>
          <w:b/>
        </w:rPr>
        <w:t>A doubling of design speed degrades the rotordynamic margin by a factor of sixteen.</w:t>
      </w:r>
      <w:r>
        <w:t xml:space="preserve"> This is the single strongest number in the chapter, it explains why high-speed machines run supercritically, and it justifies the weight given to Chapter 8 in the book plan. New Figure (1.4 full / 1.6 minimal) plots the divergence.</w:t>
      </w:r>
    </w:p>
    <w:p>
      <w:pPr>
        <w:jc w:val="both"/>
      </w:pPr>
      <w:r>
        <w:t>The idealisation is flagged in the text: a real rotor is not a uniform beam, bearing span exceeds active length, and shaft extensions add outboard mass. The exponents indicate severity of trend, not design values.</w:t>
      </w:r>
    </w:p>
    <w:p>
      <w:pPr>
        <w:pStyle w:val="Heading3"/>
      </w:pPr>
      <w:r>
        <w:t>A3. Three design paths now distinguished</w:t>
      </w:r>
    </w:p>
    <w:p>
      <w:pPr>
        <w:jc w:val="both"/>
      </w:pPr>
      <w:r>
        <w:t xml:space="preserve">A scaling exponent is meaningless until one states what is held constant. The draft's exponents describe </w:t>
      </w:r>
      <w:r>
        <w:rPr>
          <w:b/>
        </w:rPr>
        <w:t>overspeeding an existing machine</w:t>
      </w:r>
      <w:r>
        <w:t>, not designing a new one. Three paths are now separated explicitly:</w:t>
      </w:r>
    </w:p>
    <w:p>
      <w:pPr>
        <w:pStyle w:val="ListBullet"/>
      </w:pPr>
      <w:r>
        <w:rPr>
          <w:b/>
        </w:rPr>
        <w:t>(a) fixed geometry</w:t>
      </w:r>
      <w:r>
        <w:t xml:space="preserve"> — the overspeed case; where the ×4 and ×8 figures actually belong</w:t>
      </w:r>
    </w:p>
    <w:p>
      <w:pPr>
        <w:pStyle w:val="ListBullet"/>
      </w:pPr>
      <w:r>
        <w:rPr>
          <w:b/>
        </w:rPr>
        <w:t>(b) tip-speed limited at constant power</w:t>
      </w:r>
      <w:r>
        <w:t xml:space="preserve"> — the idealised design path</w:t>
      </w:r>
    </w:p>
    <w:p>
      <w:pPr>
        <w:pStyle w:val="ListBullet"/>
      </w:pPr>
      <w:r>
        <w:rPr>
          <w:b/>
        </w:rPr>
        <w:t>(c) length capped by rotordynamics</w:t>
      </w:r>
      <w:r>
        <w:t xml:space="preserve"> — what real designs do</w:t>
      </w:r>
    </w:p>
    <w:p>
      <w:pPr>
        <w:jc w:val="both"/>
      </w:pPr>
      <w:r>
        <w:t xml:space="preserve">Every column of the new table states its path. Two conclusions follow that reverse the draft's emphasis: the </w:t>
      </w:r>
      <w:r>
        <w:rPr>
          <w:i/>
        </w:rPr>
        <w:t>loss</w:t>
      </w:r>
      <w:r>
        <w:t xml:space="preserve"> penalty of high speed is smaller than commonly claimed, and the </w:t>
      </w:r>
      <w:r>
        <w:rPr>
          <w:i/>
        </w:rPr>
        <w:t>rotordynamic</w:t>
      </w:r>
      <w:r>
        <w:t xml:space="preserve"> penalty is far larger.</w:t>
      </w:r>
    </w:p>
    <w:p>
      <w:pPr>
        <w:pStyle w:val="Heading3"/>
      </w:pPr>
      <w:r>
        <w:t>A4. Square–cube thermal argument corrected</w:t>
      </w:r>
    </w:p>
    <w:p>
      <w:pPr>
        <w:jc w:val="both"/>
      </w:pPr>
      <w:r>
        <w:t>The draft argued that loss-per-surface-area "increases linearly with 1/D" as the machine shrinks. That holds only under isotropic scaling. High-speed machines scale anisotropically — shrinking radially while growing axially — and under that path rotor surface area is preserved. The thermal problem is real but it is not the square–cube law; the text now identifies the actual mechanisms (stator loss density, and the air gap's poor and largely irreducible thermal conductance isolating the rotor).</w:t>
      </w:r>
    </w:p>
    <w:p>
      <w:pPr>
        <w:pStyle w:val="Heading3"/>
      </w:pPr>
      <w:r>
        <w:t>A5. Centrifugal stress now quantified</w:t>
      </w:r>
    </w:p>
    <w:p>
      <w:pPr>
        <w:jc w:val="both"/>
      </w:pPr>
      <w:r>
        <w:t>The draft asserted that a central bore "doubles the mechanical stress." Correct, and now derived: for a solid disc σ_max = [(3+ν)/8]ρv², for a bored disc [(3+ν)/4]ρv². Worked through for electrical steel — 252 MPa at 200 m/s, 395 MPa at 250 m/s against a ~450 MPa proof stress — which turns a qualitative claim into a usable design limit. New Figure 1.1.</w:t>
      </w:r>
    </w:p>
    <w:p>
      <w:r>
        <w:br w:type="page"/>
      </w:r>
    </w:p>
    <w:p>
      <w:pPr>
        <w:pStyle w:val="Heading2"/>
      </w:pPr>
      <w:r>
        <w:t>B. Removals</w:t>
      </w:r>
    </w:p>
    <w:p>
      <w:pPr>
        <w:pStyle w:val="Heading3"/>
      </w:pPr>
      <w:r>
        <w:t>B1. Drafting artefacts in the fP passage</w:t>
      </w:r>
    </w:p>
    <w:p>
      <w:pPr>
        <w:jc w:val="both"/>
      </w:pPr>
      <w:r>
        <w:t>Two sentences were removed verbatim:</w:t>
      </w:r>
    </w:p>
    <w:p>
      <w:pPr>
        <w:jc w:val="both"/>
      </w:pPr>
      <w:r>
        <w:t xml:space="preserve">&gt; "However, </w:t>
      </w:r>
      <w:r>
        <w:rPr>
          <w:b/>
        </w:rPr>
        <w:t>without external resources provided</w:t>
      </w:r>
      <w:r>
        <w:t>, no direct literature citation can be offered for the fP product as a formal definition."</w:t>
      </w:r>
    </w:p>
    <w:p>
      <w:pPr>
        <w:jc w:val="both"/>
      </w:pPr>
      <w:r>
        <w:t xml:space="preserve">&gt; "Literature is still evolving, and while the fP product is gaining recognition as a meaningful metric, explicit references for its adoption in formal classification are limited </w:t>
      </w:r>
      <w:r>
        <w:rPr>
          <w:b/>
        </w:rPr>
        <w:t>in the current context</w:t>
      </w:r>
      <w:r>
        <w:t>."</w:t>
      </w:r>
    </w:p>
    <w:p>
      <w:pPr>
        <w:jc w:val="both"/>
      </w:pPr>
      <w:r>
        <w:t>These read as an AI tool commenting on its own retrieval limits. Publishers screen for this, and it was in the first technical section a reviewer would reach.</w:t>
      </w:r>
    </w:p>
    <w:p>
      <w:pPr>
        <w:pStyle w:val="Heading3"/>
      </w:pPr>
      <w:r>
        <w:t>B2. The circular fP threshold</w:t>
      </w:r>
    </w:p>
    <w:p>
      <w:pPr>
        <w:jc w:val="both"/>
      </w:pPr>
      <w:r>
        <w:t xml:space="preserve">The draft set the threshold at 180 000 kW/s because the single Voltcar machine happened to reach it. A reviewer would flag this immediately — and the anchor is doubly weak because Voltcar is </w:t>
      </w:r>
      <w:r>
        <w:rPr>
          <w:i/>
        </w:rPr>
        <w:t>marginal</w:t>
      </w:r>
      <w:r>
        <w:t xml:space="preserve"> by tip speed (150.8 m/s against a 150 m/s threshold).</w:t>
      </w:r>
    </w:p>
    <w:p>
      <w:pPr>
        <w:jc w:val="both"/>
      </w:pPr>
      <w:r>
        <w:t xml:space="preserve">fP is now presented as a </w:t>
      </w:r>
      <w:r>
        <w:rPr>
          <w:b/>
        </w:rPr>
        <w:t>proposed drive-system figure of merit</w:t>
      </w:r>
      <w:r>
        <w:t>, with its calibration deferred to the Chapter 2 machine survey. The justification is strengthened rather than weakened: the argument for fP is now that it is the only criterion containing pole number, demonstrated with the two-pole/six-pole comparison at identical rating and tip speed.</w:t>
      </w:r>
    </w:p>
    <w:p>
      <w:pPr>
        <w:pStyle w:val="Heading3"/>
      </w:pPr>
      <w:r>
        <w:t>B3. Fourfold repetition of the industrial-vs-mobile contrast</w:t>
      </w:r>
    </w:p>
    <w:p>
      <w:pPr>
        <w:jc w:val="both"/>
      </w:pPr>
      <w:r>
        <w:t>The contrast appeared four times: at the tail of §1.1.2 ("The Divergent Evolution"), in the conclusion of §1.2.1, in the conclusion of §1.2.2, and again in §1.4.2 ("Framing the Comparison") with Table 1.2. Consolidated into one section with one summary table. Roughly 1 500 words recovered.</w:t>
      </w:r>
    </w:p>
    <w:p>
      <w:pPr>
        <w:pStyle w:val="Heading3"/>
      </w:pPr>
      <w:r>
        <w:t>B4. Repeated chapter previews</w:t>
      </w:r>
    </w:p>
    <w:p>
      <w:pPr>
        <w:jc w:val="both"/>
      </w:pPr>
      <w:r>
        <w:t>Three subsections each closed by previewing "the chapters that follow." Now done once, in the final section.</w:t>
      </w:r>
    </w:p>
    <w:p>
      <w:r>
        <w:br w:type="page"/>
      </w:r>
    </w:p>
    <w:p>
      <w:pPr>
        <w:pStyle w:val="Heading2"/>
      </w:pPr>
      <w:r>
        <w:t>C. Additions</w:t>
      </w:r>
    </w:p>
    <w:p>
      <w:pPr>
        <w:pStyle w:val="ListBullet"/>
      </w:pPr>
      <w:r>
        <w:rPr>
          <w:b/>
        </w:rPr>
        <w:t>Worked classification example</w:t>
      </w:r>
      <w:r>
        <w:t xml:space="preserve"> (§1.2.5 full / §1.1.1 minimal). The Voltcar machine carried through all three criteria, showing that they disagree and why — the disagreement is the pole count, which is the argument for fP.</w:t>
      </w:r>
    </w:p>
    <w:p>
      <w:pPr>
        <w:pStyle w:val="ListBullet"/>
      </w:pPr>
      <w:r>
        <w:rPr>
          <w:b/>
        </w:rPr>
        <w:t>Converter requirement derived</w:t>
      </w:r>
      <w:r>
        <w:t xml:space="preserve"> (§1.5.1 / §1.4.1). f₁ = 1500 Hz at m_f = 21 requires f_sw = 31.5 kHz; a silicon IGBT stage at 16 kHz gives m_f = 10.7, at the stability floor. The machine </w:t>
      </w:r>
      <w:r>
        <w:rPr>
          <w:i/>
        </w:rPr>
        <w:t>cannot</w:t>
      </w:r>
      <w:r>
        <w:t xml:space="preserve"> be supplied by silicon. This connects the classification example to the converter argument with a number rather than an assertion.</w:t>
      </w:r>
    </w:p>
    <w:p>
      <w:pPr>
        <w:pStyle w:val="ListBullet"/>
      </w:pPr>
      <w:r>
        <w:rPr>
          <w:b/>
        </w:rPr>
        <w:t>Six analytical figures</w:t>
      </w:r>
      <w:r>
        <w:t>, generated from the equations in the text (`src/make_figures.py`), all reproducible.</w:t>
      </w:r>
    </w:p>
    <w:p>
      <w:pPr>
        <w:pStyle w:val="ListBullet"/>
      </w:pPr>
      <w:r>
        <w:rPr>
          <w:b/>
        </w:rPr>
        <w:t>Notation paragraph</w:t>
      </w:r>
      <w:r>
        <w:t xml:space="preserve"> (§1.7.2, full version only) fixing symbol conventions for the book.</w:t>
      </w:r>
    </w:p>
    <w:p>
      <w:r>
        <w:br w:type="page"/>
      </w:r>
    </w:p>
    <w:p>
      <w:pPr>
        <w:pStyle w:val="Heading2"/>
      </w:pPr>
      <w:r>
        <w:t>D. Structural changes</w:t>
      </w:r>
    </w:p>
    <w:p>
      <w:pPr>
        <w:pStyle w:val="Heading3"/>
      </w:pPr>
      <w:r>
        <w:t>D1. Trilemma → three constraints and a gate</w:t>
      </w:r>
    </w:p>
    <w:p>
      <w:pPr>
        <w:jc w:val="both"/>
      </w:pPr>
      <w:r>
        <w:t xml:space="preserve">The draft's §1.6.1 stated the trilemma and then immediately undercut it: </w:t>
      </w:r>
      <w:r>
        <w:rPr>
          <w:i/>
        </w:rPr>
        <w:t>"This trilemma is further complicated by the power electronic interface."</w:t>
      </w:r>
      <w:r>
        <w:t xml:space="preserve"> If power electronics is a fourth axis, the trilemma is not a trilemma.</w:t>
      </w:r>
    </w:p>
    <w:p>
      <w:pPr>
        <w:jc w:val="both"/>
      </w:pPr>
      <w:r>
        <w:t xml:space="preserve">Resolved by treating the converter as a </w:t>
      </w:r>
      <w:r>
        <w:rPr>
          <w:b/>
        </w:rPr>
        <w:t>gate</w:t>
      </w:r>
      <w:r>
        <w:t xml:space="preserve"> rather than an axis: it does not trade against the three constraints, it makes part of the space unreachable. This is both more accurate and a better argument — it explains why SiC changed what is designable without implying it removed the constraint. Figure 1.8 was redrawn accordingly.</w:t>
      </w:r>
    </w:p>
    <w:p>
      <w:pPr>
        <w:pStyle w:val="Heading3"/>
      </w:pPr>
      <w:r>
        <w:t>D2. Roadmap rewritten for 12 chapters</w:t>
      </w:r>
    </w:p>
    <w:p>
      <w:pPr>
        <w:jc w:val="both"/>
      </w:pPr>
      <w:r>
        <w:t>§1.6.2 described 19 chapters in six parts. Replaced with the 12-chapter structure in four parts.</w:t>
      </w:r>
    </w:p>
    <w:p>
      <w:pPr>
        <w:pStyle w:val="Heading3"/>
      </w:pPr>
      <w:r>
        <w:t>D3. Planning skeleton removed</w:t>
      </w:r>
    </w:p>
    <w:p>
      <w:pPr>
        <w:jc w:val="both"/>
      </w:pPr>
      <w:r>
        <w:t>The 40-line outline at the head of the draft had drifted from the text below it (skeleton §1.5.2 was thermal scaling; the text's §1.5.2 was mechanical stress, with thermal at §1.5.4). Removed; the section structure now carries the outline.</w:t>
      </w:r>
    </w:p>
    <w:p>
      <w:pPr>
        <w:pStyle w:val="Heading3"/>
      </w:pPr>
      <w:r>
        <w:t>D4. Full version only — reordering</w:t>
      </w:r>
    </w:p>
    <w:p>
      <w:pPr>
        <w:jc w:val="both"/>
      </w:pPr>
      <w:r>
        <w:t xml:space="preserve">Constraints moved ahead of the paradigms, so that the physics is established before the two design families are explained as different responses to it. The direct-drive history was rewritten as the lead-in to §1.6, where it explains </w:t>
      </w:r>
      <w:r>
        <w:rPr>
          <w:i/>
        </w:rPr>
        <w:t>why</w:t>
      </w:r>
      <w:r>
        <w:t xml:space="preserve"> the two paradigms diverge: the industrial machine went high-speed to delete a gearbox, the mobile machine to justify keeping one.</w:t>
      </w:r>
    </w:p>
    <w:p>
      <w:pPr>
        <w:pStyle w:val="Heading3"/>
      </w:pPr>
      <w:r>
        <w:t>D5. Figure numbering</w:t>
      </w:r>
    </w:p>
    <w:p>
      <w:pPr>
        <w:jc w:val="both"/>
      </w:pPr>
      <w:r>
        <w:t>Draft had Figures 2, 3, 4, 5 with no Figure 1. Both versions now run 1.1 to 1.8 sequentially.</w:t>
      </w:r>
    </w:p>
    <w:p>
      <w:r>
        <w:br w:type="page"/>
      </w:r>
    </w:p>
    <w:p>
      <w:pPr>
        <w:pStyle w:val="Heading2"/>
      </w:pPr>
      <w:r>
        <w:t>E. Still needed from the authors</w:t>
      </w:r>
    </w:p>
    <w:p>
      <w:pPr>
        <w:jc w:val="both"/>
      </w:pPr>
      <w:r>
        <w:rPr>
          <w:b/>
        </w:rPr>
        <w:t>Figures: complete.</w:t>
      </w:r>
      <w:r>
        <w:t xml:space="preserve"> All eight are now supplied and embedded in both chapter documents. Six are generated from the equations in the text (`src/make_figures.py`); the two schematics — geared versus direct-drive architecture, and first and second rotor bending modes — are drawn in `src/make_schematics.py`. All are 300 dpi and reproducible from source, so they can be restyled to Wiley's artwork specification without redrawing.</w:t>
      </w:r>
    </w:p>
    <w:p>
      <w:pPr>
        <w:jc w:val="both"/>
      </w:pPr>
      <w:r>
        <w:rPr>
          <w:b/>
        </w:rPr>
        <w:t>Citations.</w:t>
      </w:r>
      <w:r>
        <w:t xml:space="preserve"> Every location is listed in the References section of both documents. The only confirmed citation carried from the draft is El Hajji et al. (2024). The ones that matter most for a reviewer are the source for the 150 m/s and n√P thresholds, the Voltcar project reference, and the m_f = 21 synchronous-PWM threshold.</w:t>
      </w:r>
    </w:p>
    <w:p>
      <w:pPr>
        <w:jc w:val="both"/>
      </w:pPr>
      <w:r>
        <w:rPr>
          <w:b/>
        </w:rPr>
        <w:t>One open decision.</w:t>
      </w:r>
      <w:r>
        <w:t xml:space="preserve"> Whether switched reluctance machines are in scope. The chapter is written on the assumption that SynRM and PM-assisted SynRM are treated in Chapter 3 and that SRM gets a bounded section rather than a chapter, on the grounds that its asymmetric-bridge converter breaks the drive-interface argument running through the rest of the book. If that is wrong, one sentence in §1.7.3 changes.</w:t>
      </w:r>
    </w:p>
    <w:p>
      <w:pPr>
        <w:jc w:val="both"/>
      </w:pPr>
      <w:r>
        <w:rPr>
          <w:b/>
        </w:rPr>
        <w:t>Page budget.</w:t>
      </w:r>
      <w:r>
        <w:t xml:space="preserve"> The full version is ~18 pages against the 28 budgeted in the table of contents. The gap is real and it can be closed — the most useful additions would be a second worked example carried through the constraints, and expansion of §1.6 with a costed industrial-versus-mobile comparison. Padding it out to reach 28 would weaken it; the alternative is to reduce Chapter 1's budget in the ToC to ~20 and give the recovered pages to Chapter 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1A1A1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mbria" w:hAnsi="Cambria"/>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mbria" w:hAnsi="Cambria"/>
      <w:b/>
      <w:bCs/>
      <w:i/>
      <w:iCs/>
      <w:color w:val="33333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 Record of Changes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