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P. Rasilo</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412</w:t>
            </w:r>
          </w:p>
        </w:tc>
        <w:tc>
          <w:tcPr>
            <w:tcW w:type="dxa" w:w="1234"/>
          </w:tcPr>
          <w:p>
            <w:r>
              <w:rPr>
                <w:sz w:val="19"/>
              </w:rPr>
            </w:r>
            <w:r>
              <w:rPr>
                <w:b/>
                <w:sz w:val="19"/>
              </w:rPr>
              <w:t>161 700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452</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Owner: J. Saari of Upheat, who covers the industrial applications and the high-temperature heat pump of §2.8 from a manufacturer, and who recruits co-authors for §2.2, the aerodynamic optimum, and for the mobile applications.</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Chapters</w:t>
            </w:r>
          </w:p>
        </w:tc>
        <w:tc>
          <w:tcPr>
            <w:tcW w:type="dxa" w:w="2160"/>
          </w:tcPr>
          <w:p>
            <w:r>
              <w:rPr>
                <w:b/>
                <w:sz w:val="19"/>
              </w:rPr>
            </w:r>
            <w:r>
              <w:rPr>
                <w:b/>
                <w:sz w:val="19"/>
              </w:rPr>
              <w:t>Owner</w:t>
            </w:r>
          </w:p>
        </w:tc>
        <w:tc>
          <w:tcPr>
            <w:tcW w:type="dxa" w:w="2160"/>
          </w:tcPr>
          <w:p>
            <w:r>
              <w:rPr>
                <w:b/>
                <w:sz w:val="19"/>
              </w:rPr>
            </w:r>
            <w:r>
              <w:rPr>
                <w:b/>
                <w:sz w:val="19"/>
              </w:rPr>
              <w:t>Affiliation</w:t>
            </w:r>
          </w:p>
        </w:tc>
        <w:tc>
          <w:tcPr>
            <w:tcW w:type="dxa" w:w="2160"/>
          </w:tcPr>
          <w:p>
            <w:r>
              <w:rPr>
                <w:b/>
                <w:sz w:val="19"/>
              </w:rPr>
            </w:r>
            <w:r>
              <w:rPr>
                <w:b/>
                <w:sz w:val="19"/>
              </w:rPr>
              <w:t>Status</w:t>
            </w:r>
          </w:p>
        </w:tc>
      </w:tr>
      <w:tr>
        <w:tc>
          <w:tcPr>
            <w:tcW w:type="dxa" w:w="2160"/>
          </w:tcPr>
          <w:p>
            <w:r>
              <w:rPr>
                <w:sz w:val="19"/>
              </w:rPr>
            </w:r>
            <w:r>
              <w:rPr>
                <w:sz w:val="19"/>
              </w:rPr>
              <w:t>2 — Applications and system architectures</w:t>
            </w:r>
          </w:p>
        </w:tc>
        <w:tc>
          <w:tcPr>
            <w:tcW w:type="dxa" w:w="2160"/>
          </w:tcPr>
          <w:p>
            <w:r>
              <w:rPr>
                <w:sz w:val="19"/>
              </w:rPr>
            </w:r>
            <w:r>
              <w:rPr>
                <w:sz w:val="19"/>
              </w:rPr>
              <w:t>Juha Saari</w:t>
            </w:r>
          </w:p>
        </w:tc>
        <w:tc>
          <w:tcPr>
            <w:tcW w:type="dxa" w:w="2160"/>
          </w:tcPr>
          <w:p>
            <w:r>
              <w:rPr>
                <w:sz w:val="19"/>
              </w:rPr>
            </w:r>
            <w:r>
              <w:rPr>
                <w:sz w:val="19"/>
              </w:rPr>
              <w:t>Upheat, high-temperature heat pumps</w:t>
            </w:r>
          </w:p>
        </w:tc>
        <w:tc>
          <w:tcPr>
            <w:tcW w:type="dxa" w:w="2160"/>
          </w:tcPr>
          <w:p>
            <w:r>
              <w:rPr>
                <w:sz w:val="19"/>
              </w:rPr>
            </w:r>
            <w:r>
              <w:rPr>
                <w:sz w:val="19"/>
              </w:rPr>
              <w:t>invited</w:t>
            </w:r>
          </w:p>
        </w:tc>
      </w:tr>
      <w:tr>
        <w:tc>
          <w:tcPr>
            <w:tcW w:type="dxa" w:w="2160"/>
          </w:tcPr>
          <w:p>
            <w:r>
              <w:rPr>
                <w:sz w:val="19"/>
              </w:rPr>
            </w:r>
            <w:r>
              <w:rPr>
                <w:sz w:val="19"/>
              </w:rPr>
              <w:t>4, 5, 6 — the whole of Part II</w:t>
            </w:r>
          </w:p>
        </w:tc>
        <w:tc>
          <w:tcPr>
            <w:tcW w:type="dxa" w:w="2160"/>
          </w:tcPr>
          <w:p>
            <w:r>
              <w:rPr>
                <w:sz w:val="19"/>
              </w:rPr>
            </w:r>
            <w:r>
              <w:rPr>
                <w:sz w:val="19"/>
              </w:rPr>
              <w:t>Jussi Sopanen</w:t>
            </w:r>
          </w:p>
        </w:tc>
        <w:tc>
          <w:tcPr>
            <w:tcW w:type="dxa" w:w="2160"/>
          </w:tcPr>
          <w:p>
            <w:r>
              <w:rPr>
                <w:sz w:val="19"/>
              </w:rPr>
            </w:r>
            <w:r>
              <w:rPr>
                <w:sz w:val="19"/>
              </w:rPr>
              <w:t>LUT, machine dynamics</w:t>
            </w:r>
          </w:p>
        </w:tc>
        <w:tc>
          <w:tcPr>
            <w:tcW w:type="dxa" w:w="2160"/>
          </w:tcPr>
          <w:p>
            <w:r>
              <w:rPr>
                <w:sz w:val="19"/>
              </w:rPr>
            </w:r>
            <w:r>
              <w:rPr>
                <w:sz w:val="19"/>
              </w:rPr>
              <w:t>agreed in principle</w:t>
            </w:r>
          </w:p>
        </w:tc>
      </w:tr>
      <w:tr>
        <w:tc>
          <w:tcPr>
            <w:tcW w:type="dxa" w:w="2160"/>
          </w:tcPr>
          <w:p>
            <w:r>
              <w:rPr>
                <w:sz w:val="19"/>
              </w:rPr>
            </w:r>
            <w:r>
              <w:rPr>
                <w:sz w:val="19"/>
              </w:rPr>
              <w:t>8 — AC winding losses and conductor design</w:t>
            </w:r>
          </w:p>
        </w:tc>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expected</w:t>
            </w:r>
          </w:p>
        </w:tc>
      </w:tr>
      <w:tr>
        <w:tc>
          <w:tcPr>
            <w:tcW w:type="dxa" w:w="2160"/>
          </w:tcPr>
          <w:p>
            <w:r>
              <w:rPr>
                <w:sz w:val="19"/>
              </w:rPr>
            </w:r>
            <w:r>
              <w:rPr>
                <w:sz w:val="19"/>
              </w:rPr>
              <w:t>9 — Core, rotor and aerodynamic losses</w:t>
            </w:r>
          </w:p>
        </w:tc>
        <w:tc>
          <w:tcPr>
            <w:tcW w:type="dxa" w:w="2160"/>
          </w:tcPr>
          <w:p>
            <w:r>
              <w:rPr>
                <w:sz w:val="19"/>
              </w:rPr>
            </w:r>
            <w:r>
              <w:rPr>
                <w:sz w:val="19"/>
              </w:rPr>
              <w:t>Paavo Rasilo</w:t>
            </w:r>
          </w:p>
        </w:tc>
        <w:tc>
          <w:tcPr>
            <w:tcW w:type="dxa" w:w="2160"/>
          </w:tcPr>
          <w:p>
            <w:r>
              <w:rPr>
                <w:sz w:val="19"/>
              </w:rPr>
            </w:r>
            <w:r>
              <w:rPr>
                <w:sz w:val="19"/>
              </w:rPr>
              <w:t>Tampere University</w:t>
            </w:r>
          </w:p>
        </w:tc>
        <w:tc>
          <w:tcPr>
            <w:tcW w:type="dxa" w:w="2160"/>
          </w:tcPr>
          <w:p>
            <w:r>
              <w:rPr>
                <w:sz w:val="19"/>
              </w:rPr>
            </w:r>
            <w:r>
              <w:rPr>
                <w:sz w:val="19"/>
              </w:rPr>
              <w:t>to be invited</w:t>
            </w:r>
          </w:p>
        </w:tc>
      </w:tr>
      <w:tr>
        <w:tc>
          <w:tcPr>
            <w:tcW w:type="dxa" w:w="2160"/>
          </w:tcPr>
          <w:p>
            <w:r>
              <w:rPr>
                <w:sz w:val="19"/>
              </w:rPr>
            </w:r>
            <w:r>
              <w:rPr>
                <w:sz w:val="19"/>
              </w:rPr>
              <w:t>10 — Thermal management and cooling</w:t>
            </w:r>
          </w:p>
        </w:tc>
        <w:tc>
          <w:tcPr>
            <w:tcW w:type="dxa" w:w="2160"/>
          </w:tcPr>
          <w:p>
            <w:r>
              <w:rPr>
                <w:sz w:val="19"/>
              </w:rPr>
            </w:r>
            <w:r>
              <w:rPr>
                <w:sz w:val="19"/>
              </w:rPr>
              <w:t>Rafal Wrobel</w:t>
            </w:r>
          </w:p>
        </w:tc>
        <w:tc>
          <w:tcPr>
            <w:tcW w:type="dxa" w:w="2160"/>
          </w:tcPr>
          <w:p>
            <w:r>
              <w:rPr>
                <w:sz w:val="19"/>
              </w:rPr>
            </w:r>
            <w:r>
              <w:rPr>
                <w:sz w:val="19"/>
              </w:rPr>
              <w:t>Newcastle University</w:t>
            </w:r>
          </w:p>
        </w:tc>
        <w:tc>
          <w:tcPr>
            <w:tcW w:type="dxa" w:w="2160"/>
          </w:tcPr>
          <w:p>
            <w:r>
              <w:rPr>
                <w:sz w:val="19"/>
              </w:rPr>
            </w:r>
            <w:r>
              <w:rPr>
                <w:sz w:val="19"/>
              </w:rPr>
              <w:t>interested; considering the chapter</w:t>
            </w:r>
          </w:p>
        </w:tc>
      </w:tr>
      <w:tr>
        <w:tc>
          <w:tcPr>
            <w:tcW w:type="dxa" w:w="2160"/>
          </w:tcPr>
          <w:p>
            <w:r>
              <w:rPr>
                <w:sz w:val="19"/>
              </w:rPr>
            </w:r>
            <w:r>
              <w:rPr>
                <w:sz w:val="19"/>
              </w:rPr>
              <w:t>11 — The drive: the converter interface</w:t>
            </w:r>
          </w:p>
        </w:tc>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agreed in principle</w:t>
            </w:r>
          </w:p>
        </w:tc>
      </w:tr>
      <w:tr>
        <w:tc>
          <w:tcPr>
            <w:tcW w:type="dxa" w:w="2160"/>
          </w:tcPr>
          <w:p>
            <w:r>
              <w:rPr>
                <w:sz w:val="19"/>
              </w:rPr>
            </w:r>
            <w:r>
              <w:rPr>
                <w:sz w:val="19"/>
              </w:rPr>
              <w:t>12 — Control at high fundamental frequency</w:t>
            </w:r>
          </w:p>
        </w:tc>
        <w:tc>
          <w:tcPr>
            <w:tcW w:type="dxa" w:w="2160"/>
          </w:tcPr>
          <w:p>
            <w:r>
              <w:rPr>
                <w:sz w:val="19"/>
              </w:rPr>
            </w:r>
            <w:r>
              <w:rPr>
                <w:sz w:val="19"/>
              </w:rPr>
              <w:t>Marko Hinkkanen</w:t>
            </w:r>
          </w:p>
        </w:tc>
        <w:tc>
          <w:tcPr>
            <w:tcW w:type="dxa" w:w="2160"/>
          </w:tcPr>
          <w:p>
            <w:r>
              <w:rPr>
                <w:sz w:val="19"/>
              </w:rPr>
            </w:r>
            <w:r>
              <w:rPr>
                <w:sz w:val="19"/>
              </w:rPr>
              <w:t>Aalto University, electric drives</w:t>
            </w:r>
          </w:p>
        </w:tc>
        <w:tc>
          <w:tcPr>
            <w:tcW w:type="dxa" w:w="2160"/>
          </w:tcPr>
          <w:p>
            <w:r>
              <w:rPr>
                <w:sz w:val="19"/>
              </w:rPr>
            </w:r>
            <w:r>
              <w:rPr>
                <w:sz w:val="19"/>
              </w:rPr>
              <w:t>to be invited</w:t>
            </w:r>
          </w:p>
        </w:tc>
      </w:tr>
      <w:tr>
        <w:tc>
          <w:tcPr>
            <w:tcW w:type="dxa" w:w="2160"/>
          </w:tcPr>
          <w:p>
            <w:r>
              <w:rPr>
                <w:sz w:val="19"/>
              </w:rPr>
            </w:r>
            <w:r>
              <w:rPr>
                <w:sz w:val="19"/>
              </w:rPr>
              <w:t>13 — Industrial case studies</w:t>
            </w:r>
          </w:p>
        </w:tc>
        <w:tc>
          <w:tcPr>
            <w:tcW w:type="dxa" w:w="2160"/>
          </w:tcPr>
          <w:p>
            <w:r>
              <w:rPr>
                <w:sz w:val="19"/>
              </w:rPr>
            </w:r>
            <w:r>
              <w:rPr>
                <w:sz w:val="19"/>
              </w:rPr>
              <w:t>Jonna Tiainen and Ahti Jaatinen-Värri</w:t>
            </w:r>
          </w:p>
        </w:tc>
        <w:tc>
          <w:tcPr>
            <w:tcW w:type="dxa" w:w="2160"/>
          </w:tcPr>
          <w:p>
            <w:r>
              <w:rPr>
                <w:sz w:val="19"/>
              </w:rPr>
            </w:r>
            <w:r>
              <w:rPr>
                <w:sz w:val="19"/>
              </w:rPr>
              <w:t>The Switch; LUT, turbomachinery</w:t>
            </w:r>
          </w:p>
        </w:tc>
        <w:tc>
          <w:tcPr>
            <w:tcW w:type="dxa" w:w="2160"/>
          </w:tcPr>
          <w:p>
            <w:r>
              <w:rPr>
                <w:sz w:val="19"/>
              </w:rPr>
            </w:r>
            <w:r>
              <w:rPr>
                <w:sz w:val="19"/>
              </w:rPr>
              <w:t>to be invited</w:t>
            </w:r>
          </w:p>
        </w:tc>
      </w:tr>
      <w:tr>
        <w:tc>
          <w:tcPr>
            <w:tcW w:type="dxa" w:w="2160"/>
          </w:tcPr>
          <w:p>
            <w:r>
              <w:rPr>
                <w:sz w:val="19"/>
              </w:rPr>
            </w:r>
            <w:r>
              <w:rPr>
                <w:sz w:val="19"/>
              </w:rPr>
              <w:t>14 — Mobile case studies</w:t>
            </w:r>
          </w:p>
        </w:tc>
        <w:tc>
          <w:tcPr>
            <w:tcW w:type="dxa" w:w="2160"/>
          </w:tcPr>
          <w:p>
            <w:r>
              <w:rPr>
                <w:sz w:val="19"/>
              </w:rPr>
            </w:r>
            <w:r>
              <w:rPr>
                <w:sz w:val="19"/>
              </w:rPr>
              <w:t>Jenni Pippuri-Mäkeläinen</w:t>
            </w:r>
          </w:p>
        </w:tc>
        <w:tc>
          <w:tcPr>
            <w:tcW w:type="dxa" w:w="2160"/>
          </w:tcPr>
          <w:p>
            <w:r>
              <w:rPr>
                <w:sz w:val="19"/>
              </w:rPr>
            </w:r>
            <w:r>
              <w:rPr>
                <w:sz w:val="19"/>
              </w:rPr>
              <w:t>VTT, manager of the Voltcar project</w:t>
            </w:r>
          </w:p>
        </w:tc>
        <w:tc>
          <w:tcPr>
            <w:tcW w:type="dxa" w:w="2160"/>
          </w:tcPr>
          <w:p>
            <w:r>
              <w:rPr>
                <w:sz w:val="19"/>
              </w:rPr>
            </w:r>
            <w:r>
              <w:rPr>
                <w:sz w:val="19"/>
              </w:rPr>
              <w:t>to be invited</w:t>
            </w:r>
          </w:p>
        </w:tc>
      </w:tr>
      <w:tr>
        <w:tc>
          <w:tcPr>
            <w:tcW w:type="dxa" w:w="2160"/>
          </w:tcPr>
          <w:p>
            <w:r>
              <w:rPr>
                <w:sz w:val="19"/>
              </w:rPr>
            </w:r>
            <w:r>
              <w:rPr>
                <w:sz w:val="19"/>
              </w:rPr>
              <w:t>1, 3, 7</w:t>
            </w:r>
          </w:p>
        </w:tc>
        <w:tc>
          <w:tcPr>
            <w:tcW w:type="dxa" w:w="2160"/>
          </w:tcPr>
          <w:p>
            <w:r>
              <w:rPr>
                <w:sz w:val="19"/>
              </w:rPr>
            </w:r>
            <w:r>
              <w:rPr>
                <w:sz w:val="19"/>
              </w:rPr>
              <w:t>the authors</w:t>
            </w:r>
          </w:p>
        </w:tc>
        <w:tc>
          <w:tcPr>
            <w:tcW w:type="dxa" w:w="2160"/>
          </w:tcPr>
          <w:p>
            <w:r>
              <w:rPr>
                <w:sz w:val="19"/>
              </w:rPr>
            </w:r>
            <w:r>
              <w:rPr>
                <w:sz w:val="19"/>
              </w:rPr>
              <w:t>LUT University</w:t>
            </w:r>
          </w:p>
        </w:tc>
        <w:tc>
          <w:tcPr>
            <w:tcW w:type="dxa" w:w="2160"/>
          </w:tcPr>
          <w:p>
            <w:r>
              <w:rPr>
                <w:sz w:val="19"/>
              </w:rPr>
            </w:r>
            <w:r>
              <w:rPr>
                <w:sz w:val="19"/>
              </w:rPr>
              <w:t>—</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windage co-author</w:t>
            </w:r>
          </w:p>
        </w:tc>
        <w:tc>
          <w:tcPr>
            <w:tcW w:type="dxa" w:w="2160"/>
          </w:tcPr>
          <w:p>
            <w:r>
              <w:rPr>
                <w:sz w:val="19"/>
              </w:rPr>
            </w:r>
            <w:r>
              <w:rPr>
                <w:sz w:val="19"/>
              </w:rPr>
              <w:t>to be settled</w:t>
            </w:r>
          </w:p>
        </w:tc>
        <w:tc>
          <w:tcPr>
            <w:tcW w:type="dxa" w:w="2160"/>
          </w:tcPr>
          <w:p>
            <w:r>
              <w:rPr>
                <w:sz w:val="19"/>
              </w:rPr>
            </w:r>
            <w:r>
              <w:rPr>
                <w:sz w:val="19"/>
              </w:rPr>
              <w:t>9, §9.8</w:t>
            </w:r>
          </w:p>
        </w:tc>
        <w:tc>
          <w:tcPr>
            <w:tcW w:type="dxa" w:w="2160"/>
          </w:tcPr>
          <w:p>
            <w:r>
              <w:rPr>
                <w:sz w:val="19"/>
              </w:rPr>
            </w:r>
            <w:r>
              <w:rPr>
                <w:sz w:val="19"/>
              </w:rPr>
              <w:t>P. Rasilo; J. Saari is the natural name</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