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Wrobel,</w:t>
      </w:r>
    </w:p>
    <w:p>
      <w:pPr>
        <w:jc w:val="both"/>
      </w:pPr>
      <w:r>
        <w:t>Thank you, I am glad the subject interests you. I attach the completed introductory chapter and the annotated table of contents so that you can see where your sections would sit: §10.2 to §10.4 of the thermal chapter are the ones we have in mind, and Chapter 1 will show you the argument they serve.</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of course be glad to answer any questions about the scope, or to arrange a call.</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