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176C" w14:textId="54A42AFF" w:rsidR="00112047" w:rsidRDefault="00143C66">
      <w:pPr>
        <w:rPr>
          <w:lang w:val="en-US"/>
        </w:rPr>
      </w:pPr>
      <w:r>
        <w:rPr>
          <w:lang w:val="en-US"/>
        </w:rPr>
        <w:t>Turbomachinery design often starts with the specific speed, defined as:</w:t>
      </w:r>
    </w:p>
    <w:p w14:paraId="0F014359" w14:textId="77777777" w:rsidR="00143C66" w:rsidRDefault="00143C66">
      <w:pPr>
        <w:rPr>
          <w:lang w:val="en-US"/>
        </w:rPr>
      </w:pPr>
    </w:p>
    <w:p w14:paraId="0703B900" w14:textId="309D72A2" w:rsidR="00143C66" w:rsidRDefault="00143C66">
      <w:pPr>
        <w:rPr>
          <w:rFonts w:eastAsiaTheme="minorEastAsia"/>
          <w:lang w:val="en-US"/>
        </w:rPr>
      </w:pPr>
      <w:r>
        <w:rPr>
          <w:lang w:val="en-US"/>
        </w:rPr>
        <w:tab/>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ω</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v,in</m:t>
                    </m:r>
                  </m:sub>
                </m:sSub>
              </m:e>
            </m:ra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w:rPr>
                    <w:rFonts w:ascii="Cambria Math" w:hAnsi="Cambria Math"/>
                    <w:lang w:val="en-US"/>
                  </w:rPr>
                  <m:t>s</m:t>
                </m:r>
              </m:sub>
              <m:sup>
                <m:f>
                  <m:fPr>
                    <m:type m:val="lin"/>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sup>
            </m:sSubSup>
          </m:den>
        </m:f>
      </m:oMath>
      <w:r>
        <w:rPr>
          <w:rFonts w:eastAsiaTheme="minorEastAsia"/>
          <w:lang w:val="en-US"/>
        </w:rPr>
        <w:t xml:space="preserve"> ,</w:t>
      </w:r>
      <w:r>
        <w:rPr>
          <w:rFonts w:eastAsiaTheme="minorEastAsia"/>
          <w:lang w:val="en-US"/>
        </w:rPr>
        <w:tab/>
      </w:r>
      <w:r>
        <w:rPr>
          <w:rFonts w:eastAsiaTheme="minorEastAsia"/>
          <w:lang w:val="en-US"/>
        </w:rPr>
        <w:tab/>
      </w:r>
      <w:r>
        <w:rPr>
          <w:rFonts w:eastAsiaTheme="minorEastAsia"/>
          <w:lang w:val="en-US"/>
        </w:rPr>
        <w:tab/>
        <w:t>(1)</w:t>
      </w:r>
    </w:p>
    <w:p w14:paraId="0136A87E" w14:textId="6776F986" w:rsidR="005324F2" w:rsidRDefault="00143C66">
      <w:r>
        <w:rPr>
          <w:rFonts w:eastAsiaTheme="minorEastAsia"/>
          <w:lang w:val="en-US"/>
        </w:rPr>
        <w:t xml:space="preserve">where </w:t>
      </w:r>
      <w:r>
        <w:rPr>
          <w:rFonts w:ascii="Calibri" w:eastAsiaTheme="minorEastAsia" w:hAnsi="Calibri" w:cs="Calibri"/>
          <w:i/>
          <w:iCs/>
          <w:lang w:val="en-US"/>
        </w:rPr>
        <w:t>ω</w:t>
      </w:r>
      <w:r>
        <w:t xml:space="preserve"> is the angular velocity, </w:t>
      </w:r>
      <w:proofErr w:type="spellStart"/>
      <w:r>
        <w:rPr>
          <w:i/>
          <w:iCs/>
        </w:rPr>
        <w:t>q</w:t>
      </w:r>
      <w:r>
        <w:rPr>
          <w:i/>
          <w:iCs/>
          <w:vertAlign w:val="subscript"/>
        </w:rPr>
        <w:t>v,in</w:t>
      </w:r>
      <w:proofErr w:type="spellEnd"/>
      <w:r>
        <w:t xml:space="preserve"> is the inlet volumetric flow rate, and </w:t>
      </w:r>
      <w:proofErr w:type="spellStart"/>
      <w:r>
        <w:rPr>
          <w:rFonts w:ascii="Calibri" w:hAnsi="Calibri" w:cs="Calibri"/>
        </w:rPr>
        <w:t>Δ</w:t>
      </w:r>
      <w:r>
        <w:rPr>
          <w:i/>
          <w:iCs/>
        </w:rPr>
        <w:t>h</w:t>
      </w:r>
      <w:r>
        <w:rPr>
          <w:vertAlign w:val="subscript"/>
        </w:rPr>
        <w:t>s</w:t>
      </w:r>
      <w:proofErr w:type="spellEnd"/>
      <w:r>
        <w:t xml:space="preserve"> is the required isentropic enthalpy difference. The specific speed can be used to design any type of turbomachine </w:t>
      </w:r>
      <w:r w:rsidR="00463F16">
        <w:t>–</w:t>
      </w:r>
      <w:r>
        <w:t xml:space="preserve"> </w:t>
      </w:r>
      <w:r w:rsidR="00463F16">
        <w:t xml:space="preserve">axial and radial compressors, axial and radial turbines, pumps and fans. </w:t>
      </w:r>
      <w:r w:rsidR="005324F2">
        <w:t>Inlet volume flow is based on the required mass flow rate of the machine, and the inlet thermodynamic state, and the required isentropic enthalpy difference depends on the inlet state and the required pressure ratio, and the working fluid itself.</w:t>
      </w:r>
      <w:r w:rsidR="00D97760">
        <w:t xml:space="preserve"> </w:t>
      </w:r>
      <w:r w:rsidR="00065654">
        <w:t>For a fixed pressure ratio, the</w:t>
      </w:r>
      <w:r w:rsidR="00D97760">
        <w:t xml:space="preserve"> lower the fluid </w:t>
      </w:r>
      <w:r w:rsidR="00065654">
        <w:t>molar mass, the higher is the isentropic enthalpy difference.</w:t>
      </w:r>
      <w:r w:rsidR="001A1591">
        <w:t xml:space="preserve"> </w:t>
      </w:r>
      <w:commentRangeStart w:id="0"/>
      <w:r w:rsidR="001A1591">
        <w:t>For example, the required isentropic enthalpy difference in a hydrogen compressor is around 14.5 times higher than for an air compressor, given a similar pressure ratio.</w:t>
      </w:r>
      <w:commentRangeEnd w:id="0"/>
      <w:r w:rsidR="00781BA8">
        <w:rPr>
          <w:rStyle w:val="CommentReference"/>
        </w:rPr>
        <w:commentReference w:id="0"/>
      </w:r>
    </w:p>
    <w:p w14:paraId="46093FD1" w14:textId="1E7A84D7" w:rsidR="00143C66" w:rsidRDefault="00463F16">
      <w:commentRangeStart w:id="1"/>
      <w:r>
        <w:t>For each specific machine type</w:t>
      </w:r>
      <w:r w:rsidR="005324F2">
        <w:t xml:space="preserve">, there is a certain specific speed range, which leads to </w:t>
      </w:r>
      <w:r w:rsidR="00525D87">
        <w:t xml:space="preserve">a </w:t>
      </w:r>
      <w:r w:rsidR="005324F2">
        <w:t>good isentropic efficiency</w:t>
      </w:r>
      <w:r w:rsidR="00525D87">
        <w:t>. F</w:t>
      </w:r>
      <w:r w:rsidR="005324F2">
        <w:t>or example for centrifugal compressors the good range is between 0.6 and 0.</w:t>
      </w:r>
      <w:r w:rsidR="00525D87">
        <w:t>9</w:t>
      </w:r>
      <w:r w:rsidR="005324F2">
        <w:t xml:space="preserve"> (Rodgers, 1980)</w:t>
      </w:r>
      <w:commentRangeEnd w:id="1"/>
      <w:r w:rsidR="005324F2">
        <w:rPr>
          <w:rStyle w:val="CommentReference"/>
        </w:rPr>
        <w:commentReference w:id="1"/>
      </w:r>
      <w:r w:rsidR="005324F2">
        <w:t>. Once the designer has chosen the design specific speed</w:t>
      </w:r>
      <w:r w:rsidR="00525D87">
        <w:t>,</w:t>
      </w:r>
      <w:r w:rsidR="00644275">
        <w:t xml:space="preserve"> the </w:t>
      </w:r>
      <w:r w:rsidR="00525D87">
        <w:t xml:space="preserve">corresponding </w:t>
      </w:r>
      <w:r w:rsidR="00644275">
        <w:t>rotational speed can be solved</w:t>
      </w:r>
      <w:r w:rsidR="00F41FF9">
        <w:t>. It should be noted that the specific speed ranges are not absolute, rather they are semi-empirical</w:t>
      </w:r>
      <w:r w:rsidR="00BC59DF">
        <w:t xml:space="preserve"> general guidelines. In some </w:t>
      </w:r>
      <w:r w:rsidR="00525D87">
        <w:t>cases,</w:t>
      </w:r>
      <w:r w:rsidR="00BC59DF">
        <w:t xml:space="preserve"> it may be viable to design the machine at sub-optimal specific speed sacrificing some of the efficiency.</w:t>
      </w:r>
    </w:p>
    <w:p w14:paraId="10C59FD7" w14:textId="77777777" w:rsidR="005324F2" w:rsidRDefault="005324F2"/>
    <w:p w14:paraId="5933ACAB" w14:textId="77777777" w:rsidR="005324F2" w:rsidRDefault="005324F2"/>
    <w:p w14:paraId="3419B43C" w14:textId="532AFC78" w:rsidR="005324F2" w:rsidRDefault="005324F2">
      <w:r>
        <w:t>REFERENCES:</w:t>
      </w:r>
    </w:p>
    <w:p w14:paraId="2DCA375A" w14:textId="77777777" w:rsidR="005324F2" w:rsidRPr="005324F2" w:rsidRDefault="005324F2" w:rsidP="005324F2">
      <w:pPr>
        <w:rPr>
          <w:lang w:val="en-US"/>
        </w:rPr>
      </w:pPr>
      <w:r w:rsidRPr="005324F2">
        <w:rPr>
          <w:lang w:val="en-US"/>
        </w:rPr>
        <w:t xml:space="preserve">Rodgers, C. (1980), Specific speed and efficiency of centrifugal impellers, </w:t>
      </w:r>
      <w:r w:rsidRPr="005324F2">
        <w:rPr>
          <w:i/>
          <w:iCs/>
          <w:lang w:val="en-US"/>
        </w:rPr>
        <w:t>The 25th annual international gas turbine conference and exhibit and the 22nd annual fluids engineering conference, March 9-13, New Orleans, Louisiana, USA</w:t>
      </w:r>
    </w:p>
    <w:p w14:paraId="14D1DB79" w14:textId="77777777" w:rsidR="005324F2" w:rsidRPr="00143C66" w:rsidRDefault="005324F2">
      <w:pPr>
        <w:rPr>
          <w:lang w:val="en-US"/>
        </w:rPr>
      </w:pPr>
    </w:p>
    <w:sectPr w:rsidR="005324F2" w:rsidRPr="00143C66">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hti Jaatinen-Värri (LUT)" w:date="2026-10-02T12:23:00Z" w:initials="AJ">
    <w:p w14:paraId="436EE67A" w14:textId="77777777" w:rsidR="00781BA8" w:rsidRDefault="00781BA8" w:rsidP="00781BA8">
      <w:pPr>
        <w:pStyle w:val="CommentText"/>
      </w:pPr>
      <w:r>
        <w:rPr>
          <w:rStyle w:val="CommentReference"/>
        </w:rPr>
        <w:annotationRef/>
      </w:r>
      <w:r>
        <w:t>If needed, I can quite easily calculate examples for the required enthalpy change with other workign fluids.</w:t>
      </w:r>
    </w:p>
  </w:comment>
  <w:comment w:id="1" w:author="Ahti Jaatinen-Värri (LUT)" w:date="2026-10-02T11:29:00Z" w:initials="AJ">
    <w:p w14:paraId="597FCF2F" w14:textId="77777777" w:rsidR="00781BA8" w:rsidRDefault="005324F2" w:rsidP="00781BA8">
      <w:pPr>
        <w:pStyle w:val="CommentText"/>
      </w:pPr>
      <w:r>
        <w:rPr>
          <w:rStyle w:val="CommentReference"/>
        </w:rPr>
        <w:annotationRef/>
      </w:r>
      <w:r w:rsidR="00781BA8">
        <w:t>We can easily find a figure to exemplify this if we wish. Though, the figure is not made by us, so we need to acquire a permission to publish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6EE67A" w15:done="0"/>
  <w15:commentEx w15:paraId="597FCF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A3C4EA" w16cex:dateUtc="2026-10-02T09:23:00Z"/>
  <w16cex:commentExtensible w16cex:durableId="13DE8821" w16cex:dateUtc="2026-10-02T0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6EE67A" w16cid:durableId="1BA3C4EA"/>
  <w16cid:commentId w16cid:paraId="597FCF2F" w16cid:durableId="13DE88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1109" w14:textId="77777777" w:rsidR="00143C66" w:rsidRDefault="00143C66" w:rsidP="00143C66">
      <w:pPr>
        <w:spacing w:after="0" w:line="240" w:lineRule="auto"/>
      </w:pPr>
      <w:r>
        <w:separator/>
      </w:r>
    </w:p>
  </w:endnote>
  <w:endnote w:type="continuationSeparator" w:id="0">
    <w:p w14:paraId="78DEE355" w14:textId="77777777" w:rsidR="00143C66" w:rsidRDefault="00143C66" w:rsidP="00143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0EA8" w14:textId="3355BFA6" w:rsidR="00143C66" w:rsidRDefault="00143C66">
    <w:pPr>
      <w:pStyle w:val="Footer"/>
    </w:pPr>
    <w:r>
      <w:rPr>
        <w:noProof/>
      </w:rPr>
      <mc:AlternateContent>
        <mc:Choice Requires="wps">
          <w:drawing>
            <wp:anchor distT="0" distB="0" distL="0" distR="0" simplePos="0" relativeHeight="251659264" behindDoc="0" locked="0" layoutInCell="1" allowOverlap="1" wp14:anchorId="7BA60996" wp14:editId="6BD0C81C">
              <wp:simplePos x="635" y="635"/>
              <wp:positionH relativeFrom="page">
                <wp:align>left</wp:align>
              </wp:positionH>
              <wp:positionV relativeFrom="page">
                <wp:align>bottom</wp:align>
              </wp:positionV>
              <wp:extent cx="2718435" cy="370205"/>
              <wp:effectExtent l="0" t="0" r="5715" b="0"/>
              <wp:wrapNone/>
              <wp:docPr id="1792250360"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6BE4D045" w14:textId="4416D37D"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A60996"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14.0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" filled="f" stroked="f">
              <v:fill o:detectmouseclick="t"/>
              <v:textbox style="mso-fit-shape-to-text:t" inset="20pt,0,0,15pt">
                <w:txbxContent>
                  <w:p w14:paraId="6BE4D045" w14:textId="4416D37D"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4151" w14:textId="00D42132" w:rsidR="00143C66" w:rsidRDefault="00143C66">
    <w:pPr>
      <w:pStyle w:val="Footer"/>
    </w:pPr>
    <w:r>
      <w:rPr>
        <w:noProof/>
      </w:rPr>
      <mc:AlternateContent>
        <mc:Choice Requires="wps">
          <w:drawing>
            <wp:anchor distT="0" distB="0" distL="0" distR="0" simplePos="0" relativeHeight="251660288" behindDoc="0" locked="0" layoutInCell="1" allowOverlap="1" wp14:anchorId="650A2187" wp14:editId="28E19719">
              <wp:simplePos x="914400" y="10058400"/>
              <wp:positionH relativeFrom="page">
                <wp:align>left</wp:align>
              </wp:positionH>
              <wp:positionV relativeFrom="page">
                <wp:align>bottom</wp:align>
              </wp:positionV>
              <wp:extent cx="2718435" cy="370205"/>
              <wp:effectExtent l="0" t="0" r="5715" b="0"/>
              <wp:wrapNone/>
              <wp:docPr id="1935433399" name="Text Box 3"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25893D89" w14:textId="1D0A6E4A"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0A2187" id="_x0000_t202" coordsize="21600,21600" o:spt="202" path="m,l,21600r21600,l21600,xe">
              <v:stroke joinstyle="miter"/>
              <v:path gradientshapeok="t" o:connecttype="rect"/>
            </v:shapetype>
            <v:shape id="Text Box 3" o:spid="_x0000_s1027" type="#_x0000_t202" alt="LUT Group Confidential - Other information (3Y)" style="position:absolute;margin-left:0;margin-top:0;width:214.0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" filled="f" stroked="f">
              <v:fill o:detectmouseclick="t"/>
              <v:textbox style="mso-fit-shape-to-text:t" inset="20pt,0,0,15pt">
                <w:txbxContent>
                  <w:p w14:paraId="25893D89" w14:textId="1D0A6E4A"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DD73" w14:textId="19EF8DDE" w:rsidR="00143C66" w:rsidRDefault="00143C66">
    <w:pPr>
      <w:pStyle w:val="Footer"/>
    </w:pPr>
    <w:r>
      <w:rPr>
        <w:noProof/>
      </w:rPr>
      <mc:AlternateContent>
        <mc:Choice Requires="wps">
          <w:drawing>
            <wp:anchor distT="0" distB="0" distL="0" distR="0" simplePos="0" relativeHeight="251658240" behindDoc="0" locked="0" layoutInCell="1" allowOverlap="1" wp14:anchorId="162238FF" wp14:editId="7F6F12C2">
              <wp:simplePos x="635" y="635"/>
              <wp:positionH relativeFrom="page">
                <wp:align>left</wp:align>
              </wp:positionH>
              <wp:positionV relativeFrom="page">
                <wp:align>bottom</wp:align>
              </wp:positionV>
              <wp:extent cx="2718435" cy="370205"/>
              <wp:effectExtent l="0" t="0" r="5715" b="0"/>
              <wp:wrapNone/>
              <wp:docPr id="2065625935"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52E61684" w14:textId="5FFA9FA4"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2238FF" id="_x0000_t202" coordsize="21600,21600" o:spt="202" path="m,l,21600r21600,l21600,xe">
              <v:stroke joinstyle="miter"/>
              <v:path gradientshapeok="t" o:connecttype="rect"/>
            </v:shapetype>
            <v:shape id="Text Box 1" o:spid="_x0000_s1028" type="#_x0000_t202" alt="LUT Group Confidential - Other information (3Y)" style="position:absolute;margin-left:0;margin-top:0;width:214.0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" filled="f" stroked="f">
              <v:fill o:detectmouseclick="t"/>
              <v:textbox style="mso-fit-shape-to-text:t" inset="20pt,0,0,15pt">
                <w:txbxContent>
                  <w:p w14:paraId="52E61684" w14:textId="5FFA9FA4"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7A8B" w14:textId="77777777" w:rsidR="00143C66" w:rsidRDefault="00143C66" w:rsidP="00143C66">
      <w:pPr>
        <w:spacing w:after="0" w:line="240" w:lineRule="auto"/>
      </w:pPr>
      <w:r>
        <w:separator/>
      </w:r>
    </w:p>
  </w:footnote>
  <w:footnote w:type="continuationSeparator" w:id="0">
    <w:p w14:paraId="45905A08" w14:textId="77777777" w:rsidR="00143C66" w:rsidRDefault="00143C66" w:rsidP="00143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40487"/>
    <w:multiLevelType w:val="hybridMultilevel"/>
    <w:tmpl w:val="CAA6C468"/>
    <w:lvl w:ilvl="0" w:tplc="5568CFE6">
      <w:start w:val="1"/>
      <w:numFmt w:val="bullet"/>
      <w:lvlText w:val=""/>
      <w:lvlJc w:val="left"/>
      <w:pPr>
        <w:tabs>
          <w:tab w:val="num" w:pos="720"/>
        </w:tabs>
        <w:ind w:left="720" w:hanging="360"/>
      </w:pPr>
      <w:rPr>
        <w:rFonts w:ascii="Wingdings" w:hAnsi="Wingdings" w:hint="default"/>
      </w:rPr>
    </w:lvl>
    <w:lvl w:ilvl="1" w:tplc="3EF812B4" w:tentative="1">
      <w:start w:val="1"/>
      <w:numFmt w:val="bullet"/>
      <w:lvlText w:val=""/>
      <w:lvlJc w:val="left"/>
      <w:pPr>
        <w:tabs>
          <w:tab w:val="num" w:pos="1440"/>
        </w:tabs>
        <w:ind w:left="1440" w:hanging="360"/>
      </w:pPr>
      <w:rPr>
        <w:rFonts w:ascii="Wingdings" w:hAnsi="Wingdings" w:hint="default"/>
      </w:rPr>
    </w:lvl>
    <w:lvl w:ilvl="2" w:tplc="07D4B48C" w:tentative="1">
      <w:start w:val="1"/>
      <w:numFmt w:val="bullet"/>
      <w:lvlText w:val=""/>
      <w:lvlJc w:val="left"/>
      <w:pPr>
        <w:tabs>
          <w:tab w:val="num" w:pos="2160"/>
        </w:tabs>
        <w:ind w:left="2160" w:hanging="360"/>
      </w:pPr>
      <w:rPr>
        <w:rFonts w:ascii="Wingdings" w:hAnsi="Wingdings" w:hint="default"/>
      </w:rPr>
    </w:lvl>
    <w:lvl w:ilvl="3" w:tplc="FF76DE6A" w:tentative="1">
      <w:start w:val="1"/>
      <w:numFmt w:val="bullet"/>
      <w:lvlText w:val=""/>
      <w:lvlJc w:val="left"/>
      <w:pPr>
        <w:tabs>
          <w:tab w:val="num" w:pos="2880"/>
        </w:tabs>
        <w:ind w:left="2880" w:hanging="360"/>
      </w:pPr>
      <w:rPr>
        <w:rFonts w:ascii="Wingdings" w:hAnsi="Wingdings" w:hint="default"/>
      </w:rPr>
    </w:lvl>
    <w:lvl w:ilvl="4" w:tplc="0D3E82F8" w:tentative="1">
      <w:start w:val="1"/>
      <w:numFmt w:val="bullet"/>
      <w:lvlText w:val=""/>
      <w:lvlJc w:val="left"/>
      <w:pPr>
        <w:tabs>
          <w:tab w:val="num" w:pos="3600"/>
        </w:tabs>
        <w:ind w:left="3600" w:hanging="360"/>
      </w:pPr>
      <w:rPr>
        <w:rFonts w:ascii="Wingdings" w:hAnsi="Wingdings" w:hint="default"/>
      </w:rPr>
    </w:lvl>
    <w:lvl w:ilvl="5" w:tplc="C5F269BA" w:tentative="1">
      <w:start w:val="1"/>
      <w:numFmt w:val="bullet"/>
      <w:lvlText w:val=""/>
      <w:lvlJc w:val="left"/>
      <w:pPr>
        <w:tabs>
          <w:tab w:val="num" w:pos="4320"/>
        </w:tabs>
        <w:ind w:left="4320" w:hanging="360"/>
      </w:pPr>
      <w:rPr>
        <w:rFonts w:ascii="Wingdings" w:hAnsi="Wingdings" w:hint="default"/>
      </w:rPr>
    </w:lvl>
    <w:lvl w:ilvl="6" w:tplc="76C60E40" w:tentative="1">
      <w:start w:val="1"/>
      <w:numFmt w:val="bullet"/>
      <w:lvlText w:val=""/>
      <w:lvlJc w:val="left"/>
      <w:pPr>
        <w:tabs>
          <w:tab w:val="num" w:pos="5040"/>
        </w:tabs>
        <w:ind w:left="5040" w:hanging="360"/>
      </w:pPr>
      <w:rPr>
        <w:rFonts w:ascii="Wingdings" w:hAnsi="Wingdings" w:hint="default"/>
      </w:rPr>
    </w:lvl>
    <w:lvl w:ilvl="7" w:tplc="01C2A6A0" w:tentative="1">
      <w:start w:val="1"/>
      <w:numFmt w:val="bullet"/>
      <w:lvlText w:val=""/>
      <w:lvlJc w:val="left"/>
      <w:pPr>
        <w:tabs>
          <w:tab w:val="num" w:pos="5760"/>
        </w:tabs>
        <w:ind w:left="5760" w:hanging="360"/>
      </w:pPr>
      <w:rPr>
        <w:rFonts w:ascii="Wingdings" w:hAnsi="Wingdings" w:hint="default"/>
      </w:rPr>
    </w:lvl>
    <w:lvl w:ilvl="8" w:tplc="E8E416A2" w:tentative="1">
      <w:start w:val="1"/>
      <w:numFmt w:val="bullet"/>
      <w:lvlText w:val=""/>
      <w:lvlJc w:val="left"/>
      <w:pPr>
        <w:tabs>
          <w:tab w:val="num" w:pos="6480"/>
        </w:tabs>
        <w:ind w:left="6480" w:hanging="360"/>
      </w:pPr>
      <w:rPr>
        <w:rFonts w:ascii="Wingdings" w:hAnsi="Wingdings" w:hint="default"/>
      </w:rPr>
    </w:lvl>
  </w:abstractNum>
  <w:num w:numId="1" w16cid:durableId="12249460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ti Jaatinen-Värri (LUT)">
    <w15:presenceInfo w15:providerId="AD" w15:userId="S::Ahti.Jaatinen-Varri@lut.fi::51b08bf8-ca71-4419-a2d8-a3e2e0e994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C66"/>
    <w:rsid w:val="00065654"/>
    <w:rsid w:val="00112047"/>
    <w:rsid w:val="00143C66"/>
    <w:rsid w:val="001A1591"/>
    <w:rsid w:val="00463F16"/>
    <w:rsid w:val="00525D87"/>
    <w:rsid w:val="005324F2"/>
    <w:rsid w:val="00644275"/>
    <w:rsid w:val="006D0345"/>
    <w:rsid w:val="00781BA8"/>
    <w:rsid w:val="008F0D1D"/>
    <w:rsid w:val="00934A22"/>
    <w:rsid w:val="00B548DC"/>
    <w:rsid w:val="00BC59DF"/>
    <w:rsid w:val="00D97760"/>
    <w:rsid w:val="00E50776"/>
    <w:rsid w:val="00F41FF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E360"/>
  <w15:chartTrackingRefBased/>
  <w15:docId w15:val="{92B001F3-66BA-439A-ACA6-8227EF8F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43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C6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43C6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43C6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43C6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43C6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43C6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43C6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43C6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43C6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43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C6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43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C6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43C66"/>
    <w:pPr>
      <w:spacing w:before="160"/>
      <w:jc w:val="center"/>
    </w:pPr>
    <w:rPr>
      <w:i/>
      <w:iCs/>
      <w:color w:val="404040" w:themeColor="text1" w:themeTint="BF"/>
    </w:rPr>
  </w:style>
  <w:style w:type="character" w:customStyle="1" w:styleId="QuoteChar">
    <w:name w:val="Quote Char"/>
    <w:basedOn w:val="DefaultParagraphFont"/>
    <w:link w:val="Quote"/>
    <w:uiPriority w:val="29"/>
    <w:rsid w:val="00143C66"/>
    <w:rPr>
      <w:i/>
      <w:iCs/>
      <w:color w:val="404040" w:themeColor="text1" w:themeTint="BF"/>
      <w:lang w:val="en-GB"/>
    </w:rPr>
  </w:style>
  <w:style w:type="paragraph" w:styleId="ListParagraph">
    <w:name w:val="List Paragraph"/>
    <w:basedOn w:val="Normal"/>
    <w:uiPriority w:val="34"/>
    <w:qFormat/>
    <w:rsid w:val="00143C66"/>
    <w:pPr>
      <w:ind w:left="720"/>
      <w:contextualSpacing/>
    </w:pPr>
  </w:style>
  <w:style w:type="character" w:styleId="IntenseEmphasis">
    <w:name w:val="Intense Emphasis"/>
    <w:basedOn w:val="DefaultParagraphFont"/>
    <w:uiPriority w:val="21"/>
    <w:qFormat/>
    <w:rsid w:val="00143C66"/>
    <w:rPr>
      <w:i/>
      <w:iCs/>
      <w:color w:val="0F4761" w:themeColor="accent1" w:themeShade="BF"/>
    </w:rPr>
  </w:style>
  <w:style w:type="paragraph" w:styleId="IntenseQuote">
    <w:name w:val="Intense Quote"/>
    <w:basedOn w:val="Normal"/>
    <w:next w:val="Normal"/>
    <w:link w:val="IntenseQuoteChar"/>
    <w:uiPriority w:val="30"/>
    <w:qFormat/>
    <w:rsid w:val="00143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C66"/>
    <w:rPr>
      <w:i/>
      <w:iCs/>
      <w:color w:val="0F4761" w:themeColor="accent1" w:themeShade="BF"/>
      <w:lang w:val="en-GB"/>
    </w:rPr>
  </w:style>
  <w:style w:type="character" w:styleId="IntenseReference">
    <w:name w:val="Intense Reference"/>
    <w:basedOn w:val="DefaultParagraphFont"/>
    <w:uiPriority w:val="32"/>
    <w:qFormat/>
    <w:rsid w:val="00143C66"/>
    <w:rPr>
      <w:b/>
      <w:bCs/>
      <w:smallCaps/>
      <w:color w:val="0F4761" w:themeColor="accent1" w:themeShade="BF"/>
      <w:spacing w:val="5"/>
    </w:rPr>
  </w:style>
  <w:style w:type="character" w:styleId="PlaceholderText">
    <w:name w:val="Placeholder Text"/>
    <w:basedOn w:val="DefaultParagraphFont"/>
    <w:uiPriority w:val="99"/>
    <w:semiHidden/>
    <w:rsid w:val="00143C66"/>
    <w:rPr>
      <w:color w:val="666666"/>
    </w:rPr>
  </w:style>
  <w:style w:type="paragraph" w:styleId="Footer">
    <w:name w:val="footer"/>
    <w:basedOn w:val="Normal"/>
    <w:link w:val="FooterChar"/>
    <w:uiPriority w:val="99"/>
    <w:unhideWhenUsed/>
    <w:rsid w:val="00143C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C66"/>
    <w:rPr>
      <w:lang w:val="en-GB"/>
    </w:rPr>
  </w:style>
  <w:style w:type="character" w:styleId="CommentReference">
    <w:name w:val="annotation reference"/>
    <w:basedOn w:val="DefaultParagraphFont"/>
    <w:uiPriority w:val="99"/>
    <w:semiHidden/>
    <w:unhideWhenUsed/>
    <w:rsid w:val="005324F2"/>
    <w:rPr>
      <w:sz w:val="16"/>
      <w:szCs w:val="16"/>
    </w:rPr>
  </w:style>
  <w:style w:type="paragraph" w:styleId="CommentText">
    <w:name w:val="annotation text"/>
    <w:basedOn w:val="Normal"/>
    <w:link w:val="CommentTextChar"/>
    <w:uiPriority w:val="99"/>
    <w:unhideWhenUsed/>
    <w:rsid w:val="005324F2"/>
    <w:pPr>
      <w:spacing w:line="240" w:lineRule="auto"/>
    </w:pPr>
    <w:rPr>
      <w:sz w:val="20"/>
      <w:szCs w:val="20"/>
    </w:rPr>
  </w:style>
  <w:style w:type="character" w:customStyle="1" w:styleId="CommentTextChar">
    <w:name w:val="Comment Text Char"/>
    <w:basedOn w:val="DefaultParagraphFont"/>
    <w:link w:val="CommentText"/>
    <w:uiPriority w:val="99"/>
    <w:rsid w:val="005324F2"/>
    <w:rPr>
      <w:sz w:val="20"/>
      <w:szCs w:val="20"/>
      <w:lang w:val="en-GB"/>
    </w:rPr>
  </w:style>
  <w:style w:type="paragraph" w:styleId="CommentSubject">
    <w:name w:val="annotation subject"/>
    <w:basedOn w:val="CommentText"/>
    <w:next w:val="CommentText"/>
    <w:link w:val="CommentSubjectChar"/>
    <w:uiPriority w:val="99"/>
    <w:semiHidden/>
    <w:unhideWhenUsed/>
    <w:rsid w:val="005324F2"/>
    <w:rPr>
      <w:b/>
      <w:bCs/>
    </w:rPr>
  </w:style>
  <w:style w:type="character" w:customStyle="1" w:styleId="CommentSubjectChar">
    <w:name w:val="Comment Subject Char"/>
    <w:basedOn w:val="CommentTextChar"/>
    <w:link w:val="CommentSubject"/>
    <w:uiPriority w:val="99"/>
    <w:semiHidden/>
    <w:rsid w:val="005324F2"/>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9327">
      <w:bodyDiv w:val="1"/>
      <w:marLeft w:val="0"/>
      <w:marRight w:val="0"/>
      <w:marTop w:val="0"/>
      <w:marBottom w:val="0"/>
      <w:divBdr>
        <w:top w:val="none" w:sz="0" w:space="0" w:color="auto"/>
        <w:left w:val="none" w:sz="0" w:space="0" w:color="auto"/>
        <w:bottom w:val="none" w:sz="0" w:space="0" w:color="auto"/>
        <w:right w:val="none" w:sz="0" w:space="0" w:color="auto"/>
      </w:divBdr>
      <w:divsChild>
        <w:div w:id="1170563442">
          <w:marLeft w:val="547"/>
          <w:marRight w:val="0"/>
          <w:marTop w:val="4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06014c-c088-4a50-b503-4830bda7971c}" enabled="1" method="Standard" siteId="{9d97530e-8f27-4137-a2a9-5cb4dcf26f2e}" contentBits="2"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1</Pages>
  <Words>190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Ahti Jaatinen-Värri (LUT)</dc:creator>
  <cp:keywords/>
  <dc:description/>
  <cp:lastModifiedBy>Ahti Jaatinen-Värri (LUT)</cp:lastModifiedBy>
  <cp:revision>9</cp:revision>
  <dcterms:created xsi:type="dcterms:W3CDTF">2026-10-02T08:10:00Z</dcterms:created>
  <dcterms:modified xsi:type="dcterms:W3CDTF">2026-10-02T09:54:00Z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7b1ef34f,6ad391f8,735c5eb7</vt:lpwstr>
  </property>
  <property fmtid="{D5CDD505-2E9C-101B-9397-08002B2CF9AE}" pid="3" name="ClassificationContentMarkingFooterFontProps">
    <vt:lpwstr>#000000,10,Calibri</vt:lpwstr>
  </property>
  <property fmtid="{D5CDD505-2E9C-101B-9397-08002B2CF9AE}" pid="4" name="ClassificationContentMarkingFooterText">
    <vt:lpwstr>LUT Group Confidential - Other information (3Y)</vt:lpwstr>
  </property>
</Properties>
</file>