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Integrating Ahti's specific-speed text into the Introduction</w:t>
      </w:r>
    </w:p>
    <w:p>
      <w:pPr>
        <w:pStyle w:val="Heading2"/>
      </w:pPr>
      <w:r>
        <w:t>Where</w:t>
      </w:r>
    </w:p>
    <w:p>
      <w:pPr>
        <w:jc w:val="both"/>
      </w:pPr>
      <w:r>
        <w:t>**A new §1.1.2, "Where the speed requirement comes from", between the definitions and the</w:t>
      </w:r>
    </w:p>
    <w:p>
      <w:pPr>
        <w:jc w:val="both"/>
      </w:pPr>
      <w:r>
        <w:t>history.** The current §1.1.2 becomes §1.1.3.</w:t>
      </w:r>
    </w:p>
    <w:p>
      <w:pPr>
        <w:jc w:val="both"/>
      </w:pPr>
      <w:r>
        <w:t xml:space="preserve">The chapter's own order asks for it there. §1.1.1 answers </w:t>
      </w:r>
      <w:r>
        <w:rPr>
          <w:i/>
        </w:rPr>
        <w:t>what counts as high speed</w:t>
      </w:r>
      <w:r>
        <w:t xml:space="preserve"> —</w:t>
      </w:r>
    </w:p>
    <w:p>
      <w:pPr>
        <w:jc w:val="both"/>
      </w:pPr>
      <w:r>
        <w:t>tip speed, n√P, the fP product. The next question a reader has is *why does anything have</w:t>
      </w:r>
    </w:p>
    <w:p>
      <w:pPr>
        <w:jc w:val="both"/>
      </w:pPr>
      <w:r>
        <w:t>to be high speed*, and the chapter never answers it; it moves straight to how industry</w:t>
      </w:r>
    </w:p>
    <w:p>
      <w:pPr>
        <w:jc w:val="both"/>
      </w:pPr>
      <w:r>
        <w:t>delivered the speed, first with gearboxes and then without. The requirement is asserted</w:t>
      </w:r>
    </w:p>
    <w:p>
      <w:pPr>
        <w:jc w:val="both"/>
      </w:pPr>
      <w:r>
        <w:t>four times before the chapter is a third through:</w:t>
      </w:r>
    </w:p>
    <w:p>
      <w:pPr>
        <w:pStyle w:val="ListBullet"/>
      </w:pPr>
      <w:r>
        <w:t>§1.1.2 ¶1: "the industrial standard for achieving high-speed rotation, **required for</w:t>
      </w:r>
    </w:p>
    <w:p>
      <w:pPr>
        <w:jc w:val="both"/>
      </w:pPr>
      <w:r>
        <w:t>compressors, pumps, and fans**"</w:t>
      </w:r>
    </w:p>
    <w:p>
      <w:pPr>
        <w:pStyle w:val="ListBullet"/>
      </w:pPr>
      <w:r>
        <w:t>§1.2.1: "Traditionally, these required a speed-increasing gearbox to reach **the</w:t>
      </w:r>
    </w:p>
    <w:p>
      <w:pPr>
        <w:jc w:val="both"/>
      </w:pPr>
      <w:r>
        <w:t>necessary impeller tip speeds**"</w:t>
      </w:r>
    </w:p>
    <w:p>
      <w:pPr>
        <w:pStyle w:val="ListBullet"/>
      </w:pPr>
      <w:r>
        <w:t xml:space="preserve">§1.2.1: "the ability to operate at </w:t>
      </w:r>
      <w:r>
        <w:rPr>
          <w:b/>
        </w:rPr>
        <w:t>the turbine's native speed</w:t>
      </w:r>
      <w:r>
        <w:t xml:space="preserve"> (often 20 000 to</w:t>
      </w:r>
    </w:p>
    <w:p>
      <w:pPr>
        <w:jc w:val="both"/>
      </w:pPr>
      <w:r>
        <w:t>50 000 r/min)"</w:t>
      </w:r>
    </w:p>
    <w:p>
      <w:pPr>
        <w:pStyle w:val="ListBullet"/>
      </w:pPr>
      <w:r>
        <w:t xml:space="preserve">§1.2.1: "a 2-pole machine at </w:t>
      </w:r>
      <w:r>
        <w:rPr>
          <w:b/>
        </w:rPr>
        <w:t>30 000 r/min</w:t>
      </w:r>
      <w:r>
        <w:t xml:space="preserve"> results in a 500 Hz fundamental frequency"</w:t>
      </w:r>
    </w:p>
    <w:p>
      <w:pPr>
        <w:jc w:val="both"/>
      </w:pPr>
      <w:r>
        <w:t>"Native speed" is specific speed under another name, used without ever being defined, and</w:t>
      </w:r>
    </w:p>
    <w:p>
      <w:pPr>
        <w:jc w:val="both"/>
      </w:pPr>
      <w:r>
        <w:t>30 000 r/min arrives from nowhere. One subsection ahead of all four of them closes the hole.</w:t>
      </w:r>
    </w:p>
    <w:p>
      <w:pPr>
        <w:jc w:val="both"/>
      </w:pPr>
      <w:r>
        <w:t>Putting it any later does not work. §1.2.1 is about topology and retention strategy, and by</w:t>
      </w:r>
    </w:p>
    <w:p>
      <w:pPr>
        <w:jc w:val="both"/>
      </w:pPr>
      <w:r>
        <w:t>then the unexplained numbers have already been used. §1.3 is the constraints, which is where</w:t>
      </w:r>
    </w:p>
    <w:p>
      <w:pPr>
        <w:jc w:val="both"/>
      </w:pPr>
      <w:r>
        <w:t>the chapter starts answering a different question.</w:t>
      </w:r>
    </w:p>
    <w:p>
      <w:pPr>
        <w:pStyle w:val="Heading3"/>
      </w:pPr>
      <w:r>
        <w:t>Renumbering is safe</w:t>
      </w:r>
    </w:p>
    <w:p>
      <w:pPr>
        <w:jc w:val="both"/>
      </w:pPr>
      <w:r>
        <w:t>Nothing in the chapter cross-references §1.1.2 by number. The one numbered forward</w:t>
      </w:r>
    </w:p>
    <w:p>
      <w:pPr>
        <w:jc w:val="both"/>
      </w:pPr>
      <w:r>
        <w:t>reference in that region is to §1.1.1 ("calibrates the classification criteria of Section</w:t>
      </w:r>
    </w:p>
    <w:p>
      <w:pPr>
        <w:jc w:val="both"/>
      </w:pPr>
      <w:r>
        <w:t>1.1.1"), which is unaffected. The chapter's equations are unnumbered, so a numbered (1.1)</w:t>
      </w:r>
    </w:p>
    <w:p>
      <w:pPr>
        <w:jc w:val="both"/>
      </w:pPr>
      <w:r>
        <w:t>either starts a scheme or stays unnumbered in the chapter's present style — the latter is</w:t>
      </w:r>
    </w:p>
    <w:p>
      <w:pPr>
        <w:jc w:val="both"/>
      </w:pPr>
      <w:r>
        <w:t>less work and consistent.</w:t>
      </w:r>
    </w:p>
    <w:p>
      <w:pPr>
        <w:pStyle w:val="Heading2"/>
      </w:pPr>
      <w:r>
        <w:t>How much</w:t>
      </w:r>
    </w:p>
    <w:p>
      <w:pPr>
        <w:jc w:val="both"/>
      </w:pPr>
      <w:r>
        <w:rPr>
          <w:b/>
        </w:rPr>
        <w:t>Not all of it.</w:t>
      </w:r>
      <w:r>
        <w:t xml:space="preserve"> §2.2 of the table of contents is "Why the driven machine sets the speed:</w:t>
      </w:r>
    </w:p>
    <w:p>
      <w:pPr>
        <w:jc w:val="both"/>
      </w:pPr>
      <w:r>
        <w:t>specific speed and the turbomachinery optimum", and it belongs to Juha Saari's Chapter 2.</w:t>
      </w:r>
    </w:p>
    <w:p>
      <w:pPr>
        <w:jc w:val="both"/>
      </w:pPr>
      <w:r>
        <w:t>Ahti's draft 2 — six equations, the air-against-hydrogen table, non-ideal fluids — is a §2.2</w:t>
      </w:r>
    </w:p>
    <w:p>
      <w:pPr>
        <w:jc w:val="both"/>
      </w:pPr>
      <w:r>
        <w:t>in miniature. Printing it twice costs two pages of a 500-page ceiling and makes the two</w:t>
      </w:r>
    </w:p>
    <w:p>
      <w:pPr>
        <w:jc w:val="both"/>
      </w:pPr>
      <w:r>
        <w:t>chapters read as duplicates, which is the one thing the DREM-companion positioning promises</w:t>
      </w:r>
    </w:p>
    <w:p>
      <w:pPr>
        <w:jc w:val="both"/>
      </w:pPr>
      <w:r>
        <w:t>the book does not do.</w:t>
      </w:r>
    </w:p>
    <w:p>
      <w:pPr>
        <w:jc w:val="both"/>
      </w:pPr>
      <w:r>
        <w:t>The split that works: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Chapter 1, §1.1.2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Chapter 2, §2.2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question, and that the answer is not electrical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equation (1), with units, and dimensionless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 restated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good Ns band for centrifugal compressors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 one 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 per machine class, with the chart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one worked number, landing on the book's own compressor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equations (2)–(6), the ideal-gas apparatus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air-against-hydrogen table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non-ideal fluids, CoolProp/Refprop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turbine convention for volume flow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Balje / Rodgers efficiency chart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Chapter 1 needs about 420 words and one equation — three quarters of a page. </w:t>
      </w:r>
      <w:r>
        <w:rPr>
          <w:b/>
        </w:rPr>
        <w:t>No figure</w:t>
      </w:r>
      <w:r>
        <w:t>:</w:t>
      </w:r>
    </w:p>
    <w:p>
      <w:pPr>
        <w:jc w:val="both"/>
      </w:pPr>
      <w:r>
        <w:t>the chapter already carries nine in twenty-six pages, and the chart is §2.2's.</w:t>
      </w:r>
    </w:p>
    <w:p>
      <w:pPr>
        <w:pStyle w:val="Heading2"/>
      </w:pPr>
      <w:r>
        <w:t>Draft of the insert</w:t>
      </w:r>
    </w:p>
    <w:p>
      <w:pPr>
        <w:jc w:val="both"/>
      </w:pPr>
      <w:r>
        <w:t>&gt; ### 1.1.2 Where the speed requirement comes from</w:t>
      </w:r>
    </w:p>
    <w:p>
      <w:pPr>
        <w:jc w:val="both"/>
      </w:pPr>
      <w:r>
        <w:t>&gt;</w:t>
      </w:r>
    </w:p>
    <w:p>
      <w:pPr>
        <w:jc w:val="both"/>
      </w:pPr>
      <w:r>
        <w:t>&gt; The preceding section asked what counts as a high-speed machine. It did not ask why any</w:t>
      </w:r>
    </w:p>
    <w:p>
      <w:pPr>
        <w:jc w:val="both"/>
      </w:pPr>
      <w:r>
        <w:t>&gt; machine should have to be one, and the answer is not an electrical one. In almost every</w:t>
      </w:r>
    </w:p>
    <w:p>
      <w:pPr>
        <w:jc w:val="both"/>
      </w:pPr>
      <w:r>
        <w:t>&gt; application treated in this book the rotational speed reaches the electrical designer</w:t>
      </w:r>
    </w:p>
    <w:p>
      <w:pPr>
        <w:jc w:val="both"/>
      </w:pPr>
      <w:r>
        <w:t>&gt; already fixed, decided by the machine being driven.</w:t>
      </w:r>
    </w:p>
    <w:p>
      <w:pPr>
        <w:jc w:val="both"/>
      </w:pPr>
      <w:r>
        <w:t>&gt;</w:t>
      </w:r>
    </w:p>
    <w:p>
      <w:pPr>
        <w:jc w:val="both"/>
      </w:pPr>
      <w:r>
        <w:t>&gt; Turbomachinery design begins from the specific speed,</w:t>
      </w:r>
    </w:p>
    <w:p>
      <w:pPr>
        <w:jc w:val="both"/>
      </w:pPr>
      <w:r>
        <w:t>&gt;</w:t>
      </w:r>
    </w:p>
    <w:p>
      <w:pPr>
        <w:jc w:val="both"/>
      </w:pPr>
      <w:r>
        <w:t xml:space="preserve">&gt; &gt; </w:t>
      </w:r>
      <w:r>
        <w:rPr>
          <w:i/>
        </w:rPr>
        <w:t>N</w:t>
      </w:r>
      <w:r>
        <w:t>s = Ω √</w:t>
      </w:r>
      <w:r>
        <w:rPr>
          <w:i/>
        </w:rPr>
        <w:t>q</w:t>
      </w:r>
      <w:r>
        <w:t>v,in ⁄ Δ</w:t>
      </w:r>
      <w:r>
        <w:rPr>
          <w:i/>
        </w:rPr>
        <w:t>h</w:t>
      </w:r>
      <w:r>
        <w:t>s^(3/4)</w:t>
      </w:r>
    </w:p>
    <w:p>
      <w:pPr>
        <w:jc w:val="both"/>
      </w:pPr>
      <w:r>
        <w:t>&gt;</w:t>
      </w:r>
    </w:p>
    <w:p>
      <w:pPr>
        <w:jc w:val="both"/>
      </w:pPr>
      <w:r>
        <w:t xml:space="preserve">&gt; in which Ω [rad/s] is the angular velocity, </w:t>
      </w:r>
      <w:r>
        <w:rPr>
          <w:i/>
        </w:rPr>
        <w:t>q</w:t>
      </w:r>
      <w:r>
        <w:t>v,in [m³/s] the inlet volumetric flow rate</w:t>
      </w:r>
    </w:p>
    <w:p>
      <w:pPr>
        <w:jc w:val="both"/>
      </w:pPr>
      <w:r>
        <w:t>&gt; and Δ</w:t>
      </w:r>
      <w:r>
        <w:rPr>
          <w:i/>
        </w:rPr>
        <w:t>h</w:t>
      </w:r>
      <w:r>
        <w:t>s [J/kg] the isentropic enthalpy difference the stage must produce. The group is</w:t>
      </w:r>
    </w:p>
    <w:p>
      <w:pPr>
        <w:jc w:val="both"/>
      </w:pPr>
      <w:r>
        <w:t>&gt; dimensionless, and it applies to every class of turbomachine: axial and radial</w:t>
      </w:r>
    </w:p>
    <w:p>
      <w:pPr>
        <w:jc w:val="both"/>
      </w:pPr>
      <w:r>
        <w:t>&gt; compressors, axial and radial turbines, pumps and fans. For each class there is a band of</w:t>
      </w:r>
    </w:p>
    <w:p>
      <w:pPr>
        <w:jc w:val="both"/>
      </w:pPr>
      <w:r>
        <w:t xml:space="preserve">&gt; </w:t>
      </w:r>
      <w:r>
        <w:rPr>
          <w:i/>
        </w:rPr>
        <w:t>N</w:t>
      </w:r>
      <w:r>
        <w:t>s within which good isentropic efficiency can be reached; for centrifugal compressors</w:t>
      </w:r>
    </w:p>
    <w:p>
      <w:pPr>
        <w:jc w:val="both"/>
      </w:pPr>
      <w:r>
        <w:t>&gt; that band is roughly 0.6 to 0.9 [Rodgers, 1980]. The bands are semi-empirical guidelines</w:t>
      </w:r>
    </w:p>
    <w:p>
      <w:pPr>
        <w:jc w:val="both"/>
      </w:pPr>
      <w:r>
        <w:t>&gt; rather than hard limits, and a designer may work off-optimum and pay for it in efficiency,</w:t>
      </w:r>
    </w:p>
    <w:p>
      <w:pPr>
        <w:jc w:val="both"/>
      </w:pPr>
      <w:r>
        <w:t>&gt; but they are narrow enough to settle the answer.</w:t>
      </w:r>
    </w:p>
    <w:p>
      <w:pPr>
        <w:jc w:val="both"/>
      </w:pPr>
      <w:r>
        <w:t>&gt;</w:t>
      </w:r>
    </w:p>
    <w:p>
      <w:pPr>
        <w:jc w:val="both"/>
      </w:pPr>
      <w:r>
        <w:t xml:space="preserve">&gt; Since the duty of the stage fixes </w:t>
      </w:r>
      <w:r>
        <w:rPr>
          <w:i/>
        </w:rPr>
        <w:t>q</w:t>
      </w:r>
      <w:r>
        <w:t>v,in and Δ</w:t>
      </w:r>
      <w:r>
        <w:rPr>
          <w:i/>
        </w:rPr>
        <w:t>h</w:t>
      </w:r>
      <w:r>
        <w:t>s, the equation then fixes Ω. Take the</w:t>
      </w:r>
    </w:p>
    <w:p>
      <w:pPr>
        <w:jc w:val="both"/>
      </w:pPr>
      <w:r>
        <w:t>&gt; centrifugal air compressor that recurs throughout this book: 3 kg/s at inlet conditions of</w:t>
      </w:r>
    </w:p>
    <w:p>
      <w:pPr>
        <w:jc w:val="both"/>
      </w:pPr>
      <w:r>
        <w:t>&gt; 1 bar and 15 °C, with a pressure ratio of 3. The inlet density follows from the gas law</w:t>
      </w:r>
    </w:p>
    <w:p>
      <w:pPr>
        <w:jc w:val="both"/>
      </w:pPr>
      <w:r>
        <w:t xml:space="preserve">&gt; and the isentropic enthalpy rise from the inlet state and the pressure ratio; with </w:t>
      </w:r>
      <w:r>
        <w:rPr>
          <w:i/>
        </w:rPr>
        <w:t>N</w:t>
      </w:r>
      <w:r>
        <w:t>s at</w:t>
      </w:r>
    </w:p>
    <w:p>
      <w:pPr>
        <w:jc w:val="both"/>
      </w:pPr>
      <w:r>
        <w:t>&gt; the middle of the good band this gives a shaft speed close to 29 000 r/min — which is why</w:t>
      </w:r>
    </w:p>
    <w:p>
      <w:pPr>
        <w:jc w:val="both"/>
      </w:pPr>
      <w:r>
        <w:t>&gt; 30 000 r/min recurs as the nominal figure in this book — and some 320 kW of isentropic</w:t>
      </w:r>
    </w:p>
    <w:p>
      <w:pPr>
        <w:jc w:val="both"/>
      </w:pPr>
      <w:r>
        <w:t>&gt; work, about 400 kW at the shaft. No electrical quantity has entered the calculation. The</w:t>
      </w:r>
    </w:p>
    <w:p>
      <w:pPr>
        <w:jc w:val="both"/>
      </w:pPr>
      <w:r>
        <w:t>&gt; speed was decided by aerodynamics, and the electrical machine is required to deliver it.</w:t>
      </w:r>
    </w:p>
    <w:p>
      <w:pPr>
        <w:jc w:val="both"/>
      </w:pPr>
      <w:r>
        <w:t>&gt;</w:t>
      </w:r>
    </w:p>
    <w:p>
      <w:pPr>
        <w:jc w:val="both"/>
      </w:pPr>
      <w:r>
        <w:t>&gt; Two consequences follow, and they organise the rest of the book. The first is that the</w:t>
      </w:r>
    </w:p>
    <w:p>
      <w:pPr>
        <w:jc w:val="both"/>
      </w:pPr>
      <w:r>
        <w:t>&gt; speed is not among the quantities the machine designer may trade. Pole number, rotor</w:t>
      </w:r>
    </w:p>
    <w:p>
      <w:pPr>
        <w:jc w:val="both"/>
      </w:pPr>
      <w:r>
        <w:t>&gt; diameter, bearing type, cooling architecture and converter are all negotiable; the number</w:t>
      </w:r>
    </w:p>
    <w:p>
      <w:pPr>
        <w:jc w:val="both"/>
      </w:pPr>
      <w:r>
        <w:t>&gt; on the nameplate is not, and a design procedure that treats it as an input rather than a</w:t>
      </w:r>
    </w:p>
    <w:p>
      <w:pPr>
        <w:jc w:val="both"/>
      </w:pPr>
      <w:r>
        <w:t>&gt; boundary condition will fail in the way described in Chapter 7. The second is that the</w:t>
      </w:r>
    </w:p>
    <w:p>
      <w:pPr>
        <w:jc w:val="both"/>
      </w:pPr>
      <w:r>
        <w:t>&gt; number moves with the working fluid. Δ</w:t>
      </w:r>
      <w:r>
        <w:rPr>
          <w:i/>
        </w:rPr>
        <w:t>h</w:t>
      </w:r>
      <w:r>
        <w:t>s rises as the molar mass falls, so the same duty</w:t>
      </w:r>
    </w:p>
    <w:p>
      <w:pPr>
        <w:jc w:val="both"/>
      </w:pPr>
      <w:r>
        <w:t>&gt; in hydrogen rather than air asks for roughly twice the shaft speed. That is why hydrogen</w:t>
      </w:r>
    </w:p>
    <w:p>
      <w:pPr>
        <w:jc w:val="both"/>
      </w:pPr>
      <w:r>
        <w:t>&gt; compression is a driver of high-speed machine development rather than an application of</w:t>
      </w:r>
    </w:p>
    <w:p>
      <w:pPr>
        <w:jc w:val="both"/>
      </w:pPr>
      <w:r>
        <w:t>&gt; the machines that already exist. Section 2.2 develops the argument in full, with the</w:t>
      </w:r>
    </w:p>
    <w:p>
      <w:pPr>
        <w:jc w:val="both"/>
      </w:pPr>
      <w:r>
        <w:t>&gt; thermodynamic relations behind Δ</w:t>
      </w:r>
      <w:r>
        <w:rPr>
          <w:i/>
        </w:rPr>
        <w:t>h</w:t>
      </w:r>
      <w:r>
        <w:t>s, the behaviour of non-ideal working fluids, and the</w:t>
      </w:r>
    </w:p>
    <w:p>
      <w:pPr>
        <w:jc w:val="both"/>
      </w:pPr>
      <w:r>
        <w:t>&gt; corresponding convention for turbines.</w:t>
      </w:r>
    </w:p>
    <w:p>
      <w:pPr>
        <w:jc w:val="both"/>
      </w:pPr>
      <w:r>
        <w:t>Reference to add: Rodgers, C. (1980). *Specific speed and efficiency of centrifugal</w:t>
      </w:r>
    </w:p>
    <w:p>
      <w:pPr>
        <w:jc w:val="both"/>
      </w:pPr>
      <w:r>
        <w:t>impellers.* 25th Annual International Gas Turbine Conference, New Orleans.</w:t>
      </w:r>
    </w:p>
    <w:p>
      <w:pPr>
        <w:pStyle w:val="Heading3"/>
      </w:pPr>
      <w:r>
        <w:t>The numbers in it are the corrected ones</w:t>
      </w:r>
    </w:p>
    <w:p>
      <w:pPr>
        <w:jc w:val="both"/>
      </w:pPr>
      <w:r>
        <w:t>"Close to 29 000 r/min" is deliberate: it is right whether Ahti's table is left as it stands</w:t>
      </w:r>
    </w:p>
    <w:p>
      <w:pPr>
        <w:jc w:val="both"/>
      </w:pPr>
      <w:r>
        <w:t>(29 405) or corrected for the 0 °C/15 °C inconsistency (28 640). It will not need revisiting</w:t>
      </w:r>
    </w:p>
    <w:p>
      <w:pPr>
        <w:jc w:val="both"/>
      </w:pPr>
      <w:r>
        <w:t>when he fixes the table.</w:t>
      </w:r>
    </w:p>
    <w:p>
      <w:pPr>
        <w:pStyle w:val="Heading2"/>
      </w:pPr>
      <w:r>
        <w:t>Practical order of operations</w:t>
      </w:r>
    </w:p>
    <w:p>
      <w:pPr>
        <w:jc w:val="both"/>
      </w:pPr>
      <w:r>
        <w:t>Chapter 1 is finished, stamped confidential and already with Wrobel, Saari and</w:t>
      </w:r>
    </w:p>
    <w:p>
      <w:pPr>
        <w:jc w:val="both"/>
      </w:pPr>
      <w:r>
        <w:t>Jaatinen-Värri/Tiainen. Adding a subsection means a new version, a re-stamp and a decision</w:t>
      </w:r>
    </w:p>
    <w:p>
      <w:pPr>
        <w:jc w:val="both"/>
      </w:pPr>
      <w:r>
        <w:t>about whether to resend.</w:t>
      </w:r>
    </w:p>
    <w:p>
      <w:pPr>
        <w:jc w:val="both"/>
      </w:pPr>
      <w:r>
        <w:t xml:space="preserve">Since the proposal has not gone to Wiley, </w:t>
      </w:r>
      <w:r>
        <w:rPr>
          <w:b/>
        </w:rPr>
        <w:t>hold it</w:t>
      </w:r>
      <w:r>
        <w:t>. Collect this with the other pending</w:t>
      </w:r>
    </w:p>
    <w:p>
      <w:pPr>
        <w:jc w:val="both"/>
      </w:pPr>
      <w:r>
        <w:t>Chapter 1 work and issue one revised version before submission rather than three. The other</w:t>
      </w:r>
    </w:p>
    <w:p>
      <w:pPr>
        <w:jc w:val="both"/>
      </w:pPr>
      <w:r>
        <w:t>items waiting:</w:t>
      </w:r>
    </w:p>
    <w:p>
      <w:pPr>
        <w:pStyle w:val="ListBullet"/>
      </w:pPr>
      <w:r>
        <w:t>the missing §1.2 heading — the chapter runs §1.1.2 straight into §1.2.1 with no Heading 2</w:t>
      </w:r>
    </w:p>
    <w:p>
      <w:pPr>
        <w:jc w:val="both"/>
      </w:pPr>
      <w:r>
        <w:t>for "The two paradigms" in between;</w:t>
      </w:r>
    </w:p>
    <w:p>
      <w:pPr>
        <w:pStyle w:val="ListBullet"/>
      </w:pPr>
      <w:r>
        <w:t>the roadmap's pulse-ratio wording against Juha's "nine or eleven" in the table of</w:t>
      </w:r>
    </w:p>
    <w:p>
      <w:pPr>
        <w:jc w:val="both"/>
      </w:pPr>
      <w:r>
        <w:t>contents;</w:t>
      </w:r>
    </w:p>
    <w:p>
      <w:pPr>
        <w:pStyle w:val="ListBullet"/>
      </w:pPr>
      <w:r>
        <w:t>"mechanical rpm value" in §1.1, against r/min everywhere else.</w:t>
      </w:r>
    </w:p>
    <w:p>
      <w:pPr>
        <w:pStyle w:val="Heading2"/>
      </w:pPr>
      <w:r>
        <w:t>One thing to settle before it is written</w:t>
      </w:r>
    </w:p>
    <w:p>
      <w:pPr>
        <w:jc w:val="both"/>
      </w:pPr>
      <w:r>
        <w:t>Ahti is writing for Chapter 1 at Juha's request, but the material's home in the table of</w:t>
      </w:r>
    </w:p>
    <w:p>
      <w:pPr>
        <w:jc w:val="both"/>
      </w:pPr>
      <w:r>
        <w:t>contents is §2.2, which belongs to Juha Saari — who has accepted Chapter 2 and is waiting</w:t>
      </w:r>
    </w:p>
    <w:p>
      <w:pPr>
        <w:jc w:val="both"/>
      </w:pPr>
      <w:r>
        <w:t>for the detailed section structure. Two people are now working the same ground without</w:t>
      </w:r>
    </w:p>
    <w:p>
      <w:pPr>
        <w:jc w:val="both"/>
      </w:pPr>
      <w:r>
        <w:t>knowing it. Whichever way it falls, Saari needs to be told what §2.2 still contains before</w:t>
      </w:r>
    </w:p>
    <w:p>
      <w:pPr>
        <w:jc w:val="both"/>
      </w:pPr>
      <w:r>
        <w:t>he starts, and Ahti's name belongs in the contributor list against Chapter 1 as well as</w:t>
      </w:r>
    </w:p>
    <w:p>
      <w:pPr>
        <w:jc w:val="both"/>
      </w:pPr>
      <w:r>
        <w:t>Chapter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Integrating the specific-speed text into Chapter 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