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J. Saari (industrial machines); A. Jaatinen-Värri and J. Tiainen (§2.2, specific speed and the aerodynamic optimum).</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the solid-rotor induction machine, which is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Contributors: J. Nerg lead (thermal networks, cooling architectures, transients), A. Belahcen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or O. Pyrhönen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(the compressor case, 12.1),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2, 9.8, 12.1</w:t>
            </w:r>
          </w:p>
        </w:tc>
        <w:tc>
          <w:tcPr>
            <w:tcW w:type="dxa" w:w="2160"/>
          </w:tcPr>
          <w:p>
            <w:r>
              <w:rPr>
                <w:sz w:val="19"/>
              </w:rPr>
            </w:r>
            <w:r>
              <w:rPr>
                <w:sz w:val="19"/>
              </w:rPr>
              <w:t>to be invited</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3.2, 12.3, 12.5; photographs and machine material throughout</w:t>
            </w:r>
          </w:p>
        </w:tc>
        <w:tc>
          <w:tcPr>
            <w:tcW w:type="dxa" w:w="2160"/>
          </w:tcPr>
          <w:p>
            <w:r>
              <w:rPr>
                <w:sz w:val="19"/>
              </w:rPr>
            </w:r>
            <w:r>
              <w:rPr>
                <w:sz w:val="19"/>
              </w:rPr>
              <w:t>agreed in principle</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2.2, 9.8, 10.5</w:t>
            </w:r>
          </w:p>
        </w:tc>
        <w:tc>
          <w:tcPr>
            <w:tcW w:type="dxa" w:w="2160"/>
          </w:tcPr>
          <w:p>
            <w:r>
              <w:rPr>
                <w:sz w:val="19"/>
              </w:rPr>
            </w:r>
            <w:r>
              <w:rPr>
                <w:sz w:val="19"/>
              </w:rPr>
              <w:t>to be invited</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2.2, 9.8, 10.5, 12</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 lead</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