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Contributor invitation and letter of support</w:t>
      </w:r>
    </w:p>
    <w:p>
      <w:pPr>
        <w:jc w:val="both"/>
      </w:pPr>
      <w:r>
        <w:rPr>
          <w:b/>
        </w:rPr>
        <w:t>Templates for the core authors</w:t>
      </w:r>
      <w:r>
        <w:t xml:space="preserve"> — draft for discussion at the core-author meeting</w:t>
      </w:r>
    </w:p>
    <w:p>
      <w:pPr>
        <w:jc w:val="both"/>
      </w:pPr>
      <w:r>
        <w:t xml:space="preserve">&gt; </w:t>
      </w:r>
      <w:r>
        <w:rPr>
          <w:b/>
        </w:rPr>
        <w:t>This is the long form, for later.</w:t>
      </w:r>
      <w:r>
        <w:t xml:space="preserve"> First contact is made with the short emails in</w:t>
      </w:r>
    </w:p>
    <w:p>
      <w:pPr>
        <w:jc w:val="both"/>
      </w:pPr>
      <w:r>
        <w:t>&gt; `Invitation_Emails.md`, which describe the invitee's part in a paragraph and attach</w:t>
      </w:r>
    </w:p>
    <w:p>
      <w:pPr>
        <w:jc w:val="both"/>
      </w:pPr>
      <w:r>
        <w:t>&gt; nothing but the draft letter of support. Chapter 1 and the annotated table of contents</w:t>
      </w:r>
    </w:p>
    <w:p>
      <w:pPr>
        <w:jc w:val="both"/>
      </w:pPr>
      <w:r>
        <w:t>&gt; are not being circulated yet. Use the templates below once the publisher has approved</w:t>
      </w:r>
    </w:p>
    <w:p>
      <w:pPr>
        <w:jc w:val="both"/>
      </w:pPr>
      <w:r>
        <w:t>&gt; and the detailed scope is being settled with each contributor.</w:t>
      </w:r>
    </w:p>
    <w:p>
      <w:pPr>
        <w:pStyle w:val="Heading2"/>
      </w:pPr>
      <w:r>
        <w:t>How to use these templates</w:t>
      </w:r>
    </w:p>
    <w:p>
      <w:pPr>
        <w:pStyle w:val="ListBullet"/>
      </w:pPr>
      <w:r>
        <w:t>Send the invitations after the core-author meeting has settled the author order, the remuneration option and the submission date, so that every invitee is told terms that will not change afterwards.</w:t>
      </w:r>
    </w:p>
    <w:p>
      <w:pPr>
        <w:pStyle w:val="ListBullet"/>
      </w:pPr>
      <w:r>
        <w:t>One mail per invitee. Replace the bracketed items, paste in the "Your contribution" block for that person from section 3, and attach three things: Chapter 1, the annotated table of contents, and the terms sheet of section 2 filled in for that person. Before attaching the table of contents, delete the Status column of its contributors table and the names of people who have not yet been asked; nobody should learn from an attachment that a colleague is "suggested".</w:t>
      </w:r>
    </w:p>
    <w:p>
      <w:pPr>
        <w:pStyle w:val="ListBullet"/>
      </w:pPr>
      <w:r>
        <w:t>Sender. The invitees all know Juha, and an invitation from the senior author carries the most weight. The mail can be signed by all three authors, with Hüseyin named as the contact for practical matters.</w:t>
      </w:r>
    </w:p>
    <w:p>
      <w:pPr>
        <w:pStyle w:val="ListBullet"/>
      </w:pPr>
      <w:r>
        <w:t>Ask for the letter of support in the invitation itself, not in a second mail. A signed letter on institutional letterhead (section 4) is the stronger form; an emailed statement (section 5) is acceptable where letterhead is impractical. Either goes to Wiley as a scanned attachment to the proposal.</w:t>
      </w:r>
    </w:p>
    <w:p>
      <w:pPr>
        <w:pStyle w:val="ListBullet"/>
      </w:pPr>
      <w:r>
        <w:t>Give a reply date about two weeks out and state the planned submission date, so the request has a shape.</w:t>
      </w:r>
    </w:p>
    <w:p>
      <w:pPr>
        <w:pStyle w:val="ListBullet"/>
      </w:pPr>
      <w:r>
        <w:t>Two of the invitations carry a question that decides something in the book: Juha Saari's, on whether measured compressor data can be published, and Jussi Sopanen's, on which members of the group will write. Both are better raised in a phone call first; the mail then records what was agreed.</w:t>
      </w:r>
    </w:p>
    <w:p>
      <w:r>
        <w:br w:type="page"/>
      </w:r>
    </w:p>
    <w:p>
      <w:pPr>
        <w:pStyle w:val="Heading2"/>
      </w:pPr>
      <w:r>
        <w:t>1. Invitation (email)</w:t>
      </w:r>
    </w:p>
    <w:p>
      <w:pPr>
        <w:jc w:val="both"/>
      </w:pPr>
      <w:r>
        <w:rPr>
          <w:b/>
        </w:rPr>
        <w:t>Subject:</w:t>
      </w:r>
      <w:r>
        <w:t xml:space="preserve"> Invitation to contribute to a Wiley book on high-speed electrical machines and drives</w:t>
      </w:r>
    </w:p>
    <w:p>
      <w:pPr>
        <w:jc w:val="both"/>
      </w:pPr>
      <w:r>
        <w:t>Dear [first name],</w:t>
      </w:r>
    </w:p>
    <w:p>
      <w:pPr>
        <w:jc w:val="both"/>
      </w:pPr>
      <w:r>
        <w:t xml:space="preserve">We are preparing a proposal to Wiley-IEEE Press for a new book, </w:t>
      </w:r>
      <w:r>
        <w:rPr>
          <w:i/>
        </w:rPr>
        <w:t>High-Speed Electrical Machines and Drives: Design for Industrial and Mobile Applications</w:t>
      </w:r>
      <w:r>
        <w:t>, and we would like you to contribute to it.</w:t>
      </w:r>
    </w:p>
    <w:p>
      <w:pPr>
        <w:jc w:val="both"/>
      </w:pPr>
      <w:r>
        <w:t xml:space="preserve">The book is a design book for the regime in which the ordinary machine-design rules stop working, and it is written as the companion to </w:t>
      </w:r>
      <w:r>
        <w:rPr>
          <w:i/>
        </w:rPr>
        <w:t>Design of Rotating Electrical Machines</w:t>
      </w:r>
      <w:r>
        <w:t>. Its thesis is that high-speed design runs the other way round from conventional practice: the mechanical and rotordynamic limits fix the rotor first, the converter fixes the admissible pole number, and the electromagnetic design is fitted into the space that remains. Thirteen chapters in four parts follow that order, and two machines, a two-pole gearless compressor drive and the six-pole 120 kW, 30 000 r/min traction machine of the EU Voltcar project, are carried through every chapter. The attached table of contents describes the whole book, and Chapter 1 is attached as written.</w:t>
      </w:r>
    </w:p>
    <w:p>
      <w:pPr>
        <w:jc w:val="both"/>
      </w:pPr>
      <w:r>
        <w:t>We would like to ask you for the following.</w:t>
      </w:r>
    </w:p>
    <w:p>
      <w:pPr>
        <w:jc w:val="both"/>
      </w:pPr>
      <w:r>
        <w:t>[paste the "Your contribution" block for this invitee from section 3]</w:t>
      </w:r>
    </w:p>
    <w:p>
      <w:pPr>
        <w:jc w:val="both"/>
      </w:pPr>
      <w:r>
        <w:t>The book is an authored work. The author line is [Canseven, Petrov and Pyrhönen], and contributors are credited by name at the head of the chapter they wrote for, in the list of contributors with affiliation and a short biography, and in the preface. One of us owns each chapter and edits it for consistency with the rest of the book; nothing in your text is changed without your agreement. [Remuneration sentence from the terms sheet.]</w:t>
      </w:r>
    </w:p>
    <w:p>
      <w:pPr>
        <w:jc w:val="both"/>
      </w:pPr>
      <w:r>
        <w:t>We would ask two things of you now, before the proposal goes to Wiley on [date].</w:t>
      </w:r>
    </w:p>
    <w:p>
      <w:pPr>
        <w:jc w:val="both"/>
      </w:pPr>
      <w:r>
        <w:t>1. A reply by [date] saying whether you are willing in principle to take this on. Nothing is binding until the publisher issues a contract, and the writing starts only then.</w:t>
      </w:r>
    </w:p>
    <w:p>
      <w:pPr>
        <w:jc w:val="both"/>
      </w:pPr>
      <w:r>
        <w:t>2. A short letter of support, one page or less, which we would attach to the proposal. Wiley's reviewers look for evidence that the named contributors exist, have agreed, and see the need for the book from their own field. A template is attached; please change it as you see fit and return it signed, or as a statement in email if letterhead is impractical.</w:t>
      </w:r>
    </w:p>
    <w:p>
      <w:pPr>
        <w:jc w:val="both"/>
      </w:pPr>
      <w:r>
        <w:t>Everything else, the chapter template, the running-machine specifications, the figure conventions and the detailed schedule, follows once the contract is signed, and we would go through the scope with you in detail then. The attached terms sheet sets out what we can already say.</w:t>
      </w:r>
    </w:p>
    <w:p>
      <w:pPr>
        <w:jc w:val="both"/>
      </w:pPr>
      <w:r>
        <w:t>We would be glad to have you in the book.</w:t>
      </w:r>
    </w:p>
    <w:p>
      <w:pPr>
        <w:jc w:val="both"/>
      </w:pPr>
      <w:r>
        <w:t>With best regards,</w:t>
      </w:r>
    </w:p>
    <w:p>
      <w:pPr>
        <w:jc w:val="both"/>
      </w:pPr>
      <w:r>
        <w:t>[Hüseyin Canseven, Ilya Petrov and Juha Pyrhönen]</w:t>
      </w:r>
    </w:p>
    <w:p>
      <w:pPr>
        <w:jc w:val="both"/>
      </w:pPr>
      <w:r>
        <w:t>[contact details]</w:t>
      </w:r>
    </w:p>
    <w:p>
      <w:pPr>
        <w:jc w:val="both"/>
      </w:pPr>
      <w:r>
        <w:t>Attachments: Chapter 1; annotated table of contents; terms sheet; letter-of-support template.</w:t>
      </w:r>
    </w:p>
    <w:p>
      <w:r>
        <w:br w:type="page"/>
      </w:r>
    </w:p>
    <w:p>
      <w:pPr>
        <w:pStyle w:val="Heading2"/>
      </w:pPr>
      <w:r>
        <w:t>2. Terms sheet (attach to the invitation, one per invitee)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Pr>
            </w:r>
            <w:r>
              <w:rPr>
                <w:b/>
                <w:sz w:val="19"/>
              </w:rPr>
              <w:t>Item</w:t>
            </w:r>
          </w:p>
        </w:tc>
        <w:tc>
          <w:tcPr>
            <w:tcW w:type="dxa" w:w="4320"/>
          </w:tcPr>
          <w:p>
            <w:r>
              <w:rPr>
                <w:b/>
                <w:sz w:val="19"/>
              </w:rPr>
            </w:r>
            <w:r>
              <w:rPr>
                <w:b/>
                <w:sz w:val="19"/>
              </w:rPr>
              <w:t>Terms</w:t>
            </w:r>
          </w:p>
        </w:tc>
      </w:tr>
      <w:tr>
        <w:tc>
          <w:tcPr>
            <w:tcW w:type="dxa" w:w="4320"/>
          </w:tcPr>
          <w:p>
            <w:r>
              <w:rPr>
                <w:sz w:val="19"/>
              </w:rPr>
            </w:r>
            <w:r>
              <w:rPr>
                <w:sz w:val="19"/>
              </w:rPr>
              <w:t>The book</w:t>
            </w:r>
          </w:p>
        </w:tc>
        <w:tc>
          <w:tcPr>
            <w:tcW w:type="dxa" w:w="4320"/>
          </w:tcPr>
          <w:p>
            <w:r>
              <w:rPr>
                <w:sz w:val="19"/>
              </w:rPr>
            </w:r>
            <w:r>
              <w:rPr>
                <w:i/>
                <w:sz w:val="19"/>
              </w:rPr>
              <w:t>High-Speed Electrical Machines and Drives: Design for Industrial and Mobile Applications</w:t>
            </w:r>
            <w:r>
              <w:rPr>
                <w:sz w:val="19"/>
              </w:rPr>
              <w:t xml:space="preserve">. Wiley-IEEE Press, at proposal stage. Authors [Canseven, Petrov and Pyrhönen]. Thirteen chapters in four parts, about 450 pages, written as the companion to </w:t>
            </w:r>
            <w:r>
              <w:rPr>
                <w:i/>
                <w:sz w:val="19"/>
              </w:rPr>
              <w:t>Design of Rotating Electrical Machines</w:t>
            </w:r>
            <w:r>
              <w:rPr>
                <w:sz w:val="19"/>
              </w:rPr>
              <w:t xml:space="preserve"> (Wiley, 2nd ed. 2014).</w:t>
            </w:r>
          </w:p>
        </w:tc>
      </w:tr>
      <w:tr>
        <w:tc>
          <w:tcPr>
            <w:tcW w:type="dxa" w:w="4320"/>
          </w:tcPr>
          <w:p>
            <w:r>
              <w:rPr>
                <w:sz w:val="19"/>
              </w:rPr>
            </w:r>
            <w:r>
              <w:rPr>
                <w:sz w:val="19"/>
              </w:rPr>
              <w:t>Your contribution</w:t>
            </w:r>
          </w:p>
        </w:tc>
        <w:tc>
          <w:tcPr>
            <w:tcW w:type="dxa" w:w="4320"/>
          </w:tcPr>
          <w:p>
            <w:r>
              <w:rPr>
                <w:sz w:val="19"/>
              </w:rPr>
            </w:r>
            <w:r>
              <w:rPr>
                <w:sz w:val="19"/>
              </w:rPr>
              <w:t>[chapter and sections, from the block in section 3]</w:t>
            </w:r>
          </w:p>
        </w:tc>
      </w:tr>
      <w:tr>
        <w:tc>
          <w:tcPr>
            <w:tcW w:type="dxa" w:w="4320"/>
          </w:tcPr>
          <w:p>
            <w:r>
              <w:rPr>
                <w:sz w:val="19"/>
              </w:rPr>
            </w:r>
            <w:r>
              <w:rPr>
                <w:sz w:val="19"/>
              </w:rPr>
              <w:t>Budget</w:t>
            </w:r>
          </w:p>
        </w:tc>
        <w:tc>
          <w:tcPr>
            <w:tcW w:type="dxa" w:w="4320"/>
          </w:tcPr>
          <w:p>
            <w:r>
              <w:rPr>
                <w:sz w:val="19"/>
              </w:rPr>
            </w:r>
            <w:r>
              <w:rPr>
                <w:sz w:val="19"/>
              </w:rPr>
              <w:t>[pages, words, figures, tables]. The publisher counts 600 words per page and two figures per page. The budget is a ceiling: the chapter owner will ask for cuts if it is exceeded, so it is better to plan to it from the start.</w:t>
            </w:r>
          </w:p>
        </w:tc>
      </w:tr>
      <w:tr>
        <w:tc>
          <w:tcPr>
            <w:tcW w:type="dxa" w:w="4320"/>
          </w:tcPr>
          <w:p>
            <w:r>
              <w:rPr>
                <w:sz w:val="19"/>
              </w:rPr>
            </w:r>
            <w:r>
              <w:rPr>
                <w:sz w:val="19"/>
              </w:rPr>
              <w:t>Credit</w:t>
            </w:r>
          </w:p>
        </w:tc>
        <w:tc>
          <w:tcPr>
            <w:tcW w:type="dxa" w:w="4320"/>
          </w:tcPr>
          <w:p>
            <w:r>
              <w:rPr>
                <w:sz w:val="19"/>
              </w:rPr>
            </w:r>
            <w:r>
              <w:rPr>
                <w:sz w:val="19"/>
              </w:rPr>
              <w:t>Named at the head of the chapter ("with contributions by …"), in the list of contributors with affiliation and short biography, and in the preface. The author line of the book is unchanged.</w:t>
            </w:r>
          </w:p>
        </w:tc>
      </w:tr>
      <w:tr>
        <w:tc>
          <w:tcPr>
            <w:tcW w:type="dxa" w:w="4320"/>
          </w:tcPr>
          <w:p>
            <w:r>
              <w:rPr>
                <w:sz w:val="19"/>
              </w:rPr>
            </w:r>
            <w:r>
              <w:rPr>
                <w:sz w:val="19"/>
              </w:rPr>
              <w:t>Editing</w:t>
            </w:r>
          </w:p>
        </w:tc>
        <w:tc>
          <w:tcPr>
            <w:tcW w:type="dxa" w:w="4320"/>
          </w:tcPr>
          <w:p>
            <w:r>
              <w:rPr>
                <w:sz w:val="19"/>
              </w:rPr>
            </w:r>
            <w:r>
              <w:rPr>
                <w:sz w:val="19"/>
              </w:rPr>
              <w:t xml:space="preserve">The chapter owner, one of the three authors, integrates the text, writes the chapter's opening paragraph on the boundary with </w:t>
            </w:r>
            <w:r>
              <w:rPr>
                <w:i/>
                <w:sz w:val="19"/>
              </w:rPr>
              <w:t>Design of Rotating Electrical Machines</w:t>
            </w:r>
            <w:r>
              <w:rPr>
                <w:sz w:val="19"/>
              </w:rPr>
              <w:t>, the closing industrial-versus-mobile section and the end-of-chapter problems unless agreed otherwise, and returns the edited chapter to you for approval before delivery.</w:t>
            </w:r>
          </w:p>
        </w:tc>
      </w:tr>
      <w:tr>
        <w:tc>
          <w:tcPr>
            <w:tcW w:type="dxa" w:w="4320"/>
          </w:tcPr>
          <w:p>
            <w:r>
              <w:rPr>
                <w:sz w:val="19"/>
              </w:rPr>
            </w:r>
            <w:r>
              <w:rPr>
                <w:sz w:val="19"/>
              </w:rPr>
              <w:t>Common devices</w:t>
            </w:r>
          </w:p>
        </w:tc>
        <w:tc>
          <w:tcPr>
            <w:tcW w:type="dxa" w:w="4320"/>
          </w:tcPr>
          <w:p>
            <w:r>
              <w:rPr>
                <w:sz w:val="19"/>
              </w:rPr>
            </w:r>
            <w:r>
              <w:rPr>
                <w:sz w:val="19"/>
              </w:rPr>
              <w:t>The two running machines are specified by month 6 after contract, and every design chapter ends with them; the section on them is planned with the chapter owner. One symbol table (Appendix B) follows the conventions of the earlier book. Each chapter points to a companion Python notebook that reproduces its analytical figures; supplying the calculation behind a figure is welcome but not required.</w:t>
            </w:r>
          </w:p>
        </w:tc>
      </w:tr>
      <w:tr>
        <w:tc>
          <w:tcPr>
            <w:tcW w:type="dxa" w:w="4320"/>
          </w:tcPr>
          <w:p>
            <w:r>
              <w:rPr>
                <w:sz w:val="19"/>
              </w:rPr>
            </w:r>
            <w:r>
              <w:rPr>
                <w:sz w:val="19"/>
              </w:rPr>
              <w:t>Schedule</w:t>
            </w:r>
          </w:p>
        </w:tc>
        <w:tc>
          <w:tcPr>
            <w:tcW w:type="dxa" w:w="4320"/>
          </w:tcPr>
          <w:p>
            <w:r>
              <w:rPr>
                <w:sz w:val="19"/>
              </w:rPr>
            </w:r>
            <w:r>
              <w:rPr>
                <w:sz w:val="19"/>
              </w:rPr>
              <w:t>First draft due at month [N] after contract signature; revised draft two months later. Complete manuscript at month 22; delivery to the publisher at month 24.</w:t>
            </w:r>
          </w:p>
        </w:tc>
      </w:tr>
      <w:tr>
        <w:tc>
          <w:tcPr>
            <w:tcW w:type="dxa" w:w="4320"/>
          </w:tcPr>
          <w:p>
            <w:r>
              <w:rPr>
                <w:sz w:val="19"/>
              </w:rPr>
            </w:r>
            <w:r>
              <w:rPr>
                <w:sz w:val="19"/>
              </w:rPr>
              <w:t>Figures and data</w:t>
            </w:r>
          </w:p>
        </w:tc>
        <w:tc>
          <w:tcPr>
            <w:tcW w:type="dxa" w:w="4320"/>
          </w:tcPr>
          <w:p>
            <w:r>
              <w:rPr>
                <w:sz w:val="19"/>
              </w:rPr>
            </w:r>
            <w:r>
              <w:rPr>
                <w:sz w:val="19"/>
              </w:rPr>
              <w:t>Figures must be original or cleared for reuse; the authors handle permission requests for reused figures if the source is identified. Measured data from industrial machines needs the employer's clearance, which we ask you to establish early. Figures are supplied as vector files or 300 dpi images; a figure style sheet follows the contract.</w:t>
            </w:r>
          </w:p>
        </w:tc>
      </w:tr>
      <w:tr>
        <w:tc>
          <w:tcPr>
            <w:tcW w:type="dxa" w:w="4320"/>
          </w:tcPr>
          <w:p>
            <w:r>
              <w:rPr>
                <w:sz w:val="19"/>
              </w:rPr>
            </w:r>
            <w:r>
              <w:rPr>
                <w:sz w:val="19"/>
              </w:rPr>
              <w:t>Rights</w:t>
            </w:r>
          </w:p>
        </w:tc>
        <w:tc>
          <w:tcPr>
            <w:tcW w:type="dxa" w:w="4320"/>
          </w:tcPr>
          <w:p>
            <w:r>
              <w:rPr>
                <w:sz w:val="19"/>
              </w:rPr>
            </w:r>
            <w:r>
              <w:rPr>
                <w:sz w:val="19"/>
              </w:rPr>
              <w:t>Wiley asks each contributor to sign a short contributor form at manuscript delivery, granting publication rights in the contributed text to the book. This is standard for authored books with contributed material.</w:t>
            </w:r>
          </w:p>
        </w:tc>
      </w:tr>
      <w:tr>
        <w:tc>
          <w:tcPr>
            <w:tcW w:type="dxa" w:w="4320"/>
          </w:tcPr>
          <w:p>
            <w:r>
              <w:rPr>
                <w:sz w:val="19"/>
              </w:rPr>
            </w:r>
            <w:r>
              <w:rPr>
                <w:sz w:val="19"/>
              </w:rPr>
              <w:t>Remuneration</w:t>
            </w:r>
          </w:p>
        </w:tc>
        <w:tc>
          <w:tcPr>
            <w:tcW w:type="dxa" w:w="4320"/>
          </w:tcPr>
          <w:p>
            <w:r>
              <w:rPr>
                <w:sz w:val="19"/>
              </w:rPr>
            </w:r>
            <w:r>
              <w:rPr>
                <w:sz w:val="19"/>
              </w:rPr>
              <w:t>[Option A: The book is a royalty contract with the three authors; contributors receive complimentary copies and no royalty share. / Option B: The authors share the royalties with contributors in proportion to contributed pages, under a side letter among the parties. / Option C: An honorarium of [amount] per contributed chapter, paid at delivery.]</w:t>
            </w:r>
          </w:p>
        </w:tc>
      </w:tr>
      <w:tr>
        <w:tc>
          <w:tcPr>
            <w:tcW w:type="dxa" w:w="4320"/>
          </w:tcPr>
          <w:p>
            <w:r>
              <w:rPr>
                <w:sz w:val="19"/>
              </w:rPr>
            </w:r>
            <w:r>
              <w:rPr>
                <w:sz w:val="19"/>
              </w:rPr>
              <w:t>Now</w:t>
            </w:r>
          </w:p>
        </w:tc>
        <w:tc>
          <w:tcPr>
            <w:tcW w:type="dxa" w:w="4320"/>
          </w:tcPr>
          <w:p>
            <w:r>
              <w:rPr>
                <w:sz w:val="19"/>
              </w:rPr>
            </w:r>
            <w:r>
              <w:rPr>
                <w:sz w:val="19"/>
              </w:rPr>
              <w:t>Reply by [date]; letter of support by [date]; proposal submitted [date]; the publisher's decision is expected about three months later.</w:t>
            </w:r>
          </w:p>
        </w:tc>
      </w:tr>
    </w:tbl>
    <w:p>
      <w:pPr>
        <w:spacing w:after="120"/>
      </w:pPr>
    </w:p>
    <w:p>
      <w:r>
        <w:br w:type="page"/>
      </w:r>
    </w:p>
    <w:p>
      <w:pPr>
        <w:pStyle w:val="Heading2"/>
      </w:pPr>
      <w:r>
        <w:t>3. "Your contribution" blocks, one per invitee</w:t>
      </w:r>
    </w:p>
    <w:p>
      <w:pPr>
        <w:jc w:val="both"/>
      </w:pPr>
      <w:r>
        <w:t>The page and figure numbers below are shares of the chapter budgets in the annotated table of contents and are indicative; the chapter owner and the contributor settle them after contract. Chapter owners are shown in brackets because they have not yet been decided.</w:t>
      </w:r>
    </w:p>
    <w:p>
      <w:pPr>
        <w:pStyle w:val="Heading3"/>
      </w:pPr>
      <w:r>
        <w:t>Jussi Sopanen and the machine dynamics group</w:t>
      </w:r>
    </w:p>
    <w:p>
      <w:pPr>
        <w:jc w:val="both"/>
      </w:pPr>
      <w:r>
        <w:t>You already know the plan and have supported it, for which we are grateful; this mail formalises what we discussed. Part II of the book, the three chapters on the constraints that bind first, is the part that no competing title has, and it is yours. Chapter 4, Rotor mechanical design and magnet retention: centrifugal stress in solid, hollow and laminated rotors, carbon-fibre and metallic sleeves, interference fits and thermal growth, fatigue life, overspeed margin and burst containment, and rotor assembly (sections 4.1, 4.3 to 4.5, 4.7 and 4.8), with Ilya Petrov writing the magnet-material and IPM-bridge sections (4.2 and 4.6). Chapter 5, Rotordynamics and vibration, in full: rigid and flexible rotor behaviour, critical speeds, Campbell diagrams and gyroscopic effects, supercritical operation, high-speed balancing, bearing stiffness and damping as rotordynamic inputs, damping strategies for passing through resonance, and vibration and noise, the last (5.7) jointly with Anouar Belahcen on the electromagnetic excitation. Chapter 6, Bearings, lubrication and seals for high-speed rotors: the bearing question at high speed, fluid-film, air-foil and active magnetic bearings, bearing friction losses in the loss budget, and the damage mechanisms of wear, fretting and bearing currents (6.1, 6.3 to 6.6 and 6.8), while an industrial bearing application specialist covers the lubrication regimes, life and seals (part of 6.2, and 6.7). We are not asking you to write all of this yourself: please build the team as you see fit, from your group and from your wider network, and we will treat whomever you name as a contributor on the same terms as everyone else.</w:t>
      </w:r>
    </w:p>
    <w:p>
      <w:pPr>
        <w:jc w:val="both"/>
      </w:pPr>
      <w:r>
        <w:t>Budget: Chapter 4, 36 pages and 24 figures, of which about 27 pages and 18 figures are the group's; Chapter 5, 30 pages and 20 figures; Chapter 6, 30 pages and 20 figures, of which about 21 pages and 14 figures are the group's. Chapter owner [Ilya Petrov]. First drafts of Part II are due at month 11 after contract. We would like to know which members of the group will write, so that they can be named as contributors from the proposal onwards.</w:t>
      </w:r>
    </w:p>
    <w:p>
      <w:pPr>
        <w:pStyle w:val="Heading3"/>
      </w:pPr>
      <w:r>
        <w:t>Anouar Belahcen</w:t>
      </w:r>
    </w:p>
    <w:p>
      <w:pPr>
        <w:jc w:val="both"/>
      </w:pPr>
      <w:r>
        <w:t>Chapter 9, Core, rotor and aerodynamic losses at high speed, is the chapter in which the assumptions of the earlier book fail most visibly: loss models fitted below 400 Hz do not extrapolate to 2 kHz. We would like you to lead it: 9.1, loss separation above 1 kHz; 9.2, the soft magnetic materials as design choices, thin-gauge silicon iron, cobalt iron, amorphous and composite materials; 9.3, the manufacturing effects that degrade them, which at high frequency are a design quantity and not a tolerance; and 9.4, measurement and model fitting for high-frequency operation. Ilya Petrov writes the rotor-loss sections 9.5 to 9.7 and Juha Saari the aerodynamic and windage losses of 9.8. Three supporting sections elsewhere would also be yours: 8.6, the AC resistance factor evaluated by finite-element analysis against the analytical models; 5.7, the electromagnetic force harmonics that excite structural vibration and noise, jointly with Jussi Sopanen's group; and 10.8, magnet temperature and demagnetisation margin, which is the binding constraint of the thermal chapter that follows yours.</w:t>
      </w:r>
    </w:p>
    <w:p>
      <w:pPr>
        <w:jc w:val="both"/>
      </w:pPr>
      <w:r>
        <w:t>Budget: about 16 pages and 10 figures of Chapter 9's 30 pages and 20 figures; about 4 pages in Chapter 8, 3 pages in Chapter 5 and 3 pages in Chapter 10. Chapter owner [Hüseyin Canseven]. First drafts: section 5.7 with Part II at month 11 after contract; Chapters 8, 9 and 10 with Part III at month 16.</w:t>
      </w:r>
    </w:p>
    <w:p>
      <w:pPr>
        <w:pStyle w:val="Heading3"/>
      </w:pPr>
      <w:r>
        <w:t>Juha Saari</w:t>
      </w:r>
    </w:p>
    <w:p>
      <w:pPr>
        <w:jc w:val="both"/>
      </w:pPr>
      <w:r>
        <w:t>Four places, all on the industrial side of the book. In Chapter 2, Applications and system architectures, the gearless industrial units: the direct-drive transition in industry, centrifugal compressors, aeration blowers, ORC and turbo-expander generators, subsea and hermetic process machines, and the architecture-selection logic of total cost of ownership against specific power (sections 2.1, 2.3, 2.4 and 2.9; §2.2, the aerodynamic case for the speed, goes to the turbomachinery contributors). In Chapter 9, section 9.8, the aerodynamic and windage losses, from Couette flow through Taylor vortices to turbulence, with the friction correlations, roughness and end effects, and low-density-gas operation; the correlations the field still cites come from your doctoral work, and we would like them presented by their author. Section 10.5 treats the convection in that same air gap at high Taylor and axial Reynolds numbers, so that the gap's two roles, as a loss source and as a heat path, are derived from one flow model instead of two disconnected ones; that section is being written with the turbomachinery contributors, and we would like your correlations to be the machine-side anchor for it. In Chapter 12, the industrial case studies, the gearless compressor drive that serves as the industrial running machine through the whole book, carried from specification to measured performance (12.1). The qualification against the standards, in §12.5, is being written by an industrial contributor from a machine manufacturer, and we would welcome your comments on it.</w:t>
      </w:r>
    </w:p>
    <w:p>
      <w:pPr>
        <w:jc w:val="both"/>
      </w:pPr>
      <w:r>
        <w:t>The compressor case depends on measured data that can be published. Because that machine appears from Chapter 2 onwards, we would ask you to establish with [company] what can be released before the proposal is submitted; if the data cannot be released, we need to choose a different running machine now rather than later.</w:t>
      </w:r>
    </w:p>
    <w:p>
      <w:pPr>
        <w:jc w:val="both"/>
      </w:pPr>
      <w:r>
        <w:t>Budget: about 14 pages and 6 figures in Chapter 2, 6 pages and 4 figures in Chapter 9, 3 pages and 2 figures in Chapter 10, and 14 pages and 10 figures in Chapter 12. Chapter owners [Juha Pyrhönen for Chapters 2 and 12; Hüseyin Canseven for Chapters 9 and 10]. First drafts: Chapter 2 at month 6 after contract, Chapters 9 and 10 at month 16, Chapter 12 at month 20.</w:t>
      </w:r>
    </w:p>
    <w:p>
      <w:pPr>
        <w:pStyle w:val="Heading3"/>
      </w:pPr>
      <w:r>
        <w:t>Janne Nerg</w:t>
      </w:r>
    </w:p>
    <w:p>
      <w:pPr>
        <w:jc w:val="both"/>
      </w:pPr>
      <w:r>
        <w:t>Chapter 10, Thermal management and cooling architectures, is a chapter we have just added to the plan, and we would like you to lead it. The thermal problem inverts at high speed: the loss density rises while the surface that must reject it shrinks, and the rotor, which in a conventional machine is the easy side, sits behind a retaining sleeve that is a structural necessity and a thermal insulator. Yours would be 10.1 to 10.4, why the thermal problem inverts, the heat paths and thermal resistances with the air gap treated as a heat source rather than a resistance, the stator cooling architectures from water jackets through in-slot to direct winding cooling with the loss density each can sustain, and rotor cooling including the hollow shaft and the sleeve as a thermal barrier; 10.6, lumped-parameter thermal networks with their contact resistances and calibration, and the point at which conjugate heat transfer becomes necessary; 10.7, transient behaviour under overload and drive cycles, which is how mobile machines are actually rated; 10.9, thermal measurement and validation on a rotating rotor; and 10.10, the thermal design of the two running machines, jointly with us. Juha Saari writes 10.5, air-gap convection, from the same flow model that produces the windage loss of section 9.8, and Anouar Belahcen 10.8, magnet temperature and demagnetisation margin.</w:t>
      </w:r>
    </w:p>
    <w:p>
      <w:pPr>
        <w:jc w:val="both"/>
      </w:pPr>
      <w:r>
        <w:t>Budget: about 21 pages and 13 figures of the chapter's 28 pages and 18 figures. Chapter owner [Hüseyin Canseven]; the loss chapter that feeds this one is led by Anouar Belahcen. First draft with Part III at month 16 after contract.</w:t>
      </w:r>
    </w:p>
    <w:p>
      <w:pPr>
        <w:pStyle w:val="Heading3"/>
      </w:pPr>
      <w:r>
        <w:t>Pasi Peltoniemi</w:t>
      </w:r>
    </w:p>
    <w:p>
      <w:pPr>
        <w:jc w:val="both"/>
      </w:pPr>
      <w:r>
        <w:t>Chapter 11, The drive: converter interface and control at high fundamental frequency, is the chapter the book's argument rests on: the converter is presented throughout as the gatekeeper that decides which region of the design space a machine can reach at all. We would like you to lead it, writing the converter sections yourself: 11.1, modulation ratio and synchronous PWM; 11.3, silicon, SiC and GaN devices compared on switching-loss economics; 11.4, DC-link voltage, du/dt and output filters; 11.5, insulation under fast switching, including partial-discharge inception and Type II insulation systems; 11.6, bearing currents and their mitigation; 11.7, converter integration and EMC; and 11.11, the co-design of the two running machines with their converters, jointly with us. Lassi Aarniovuori writes 11.2 on current harmonics and rotor heating, and [Marko Hinkkanen / Olli Pyrhönen] the control sections 11.8 to 11.10.</w:t>
      </w:r>
    </w:p>
    <w:p>
      <w:pPr>
        <w:jc w:val="both"/>
      </w:pPr>
      <w:r>
        <w:t>Budget: about 25 pages and 17 figures of the chapter's 40 pages and 26 figures. Chapter owner [Hüseyin Canseven]. First draft with Part IV at month 20 after contract. The chapter is cited from Chapter 7 onwards, however, so we would ask for one thing earlier: by month 12, a section outline and the converter capability limits, that is, which pulse ratio is reachable with which device family at which fundamental frequency, so that the pole-number selection of Chapter 7 can be written against them.</w:t>
      </w:r>
    </w:p>
    <w:p>
      <w:pPr>
        <w:pStyle w:val="Heading3"/>
      </w:pPr>
      <w:r>
        <w:t>Lassi Aarniovuori</w:t>
      </w:r>
    </w:p>
    <w:p>
      <w:pPr>
        <w:jc w:val="both"/>
      </w:pPr>
      <w:r>
        <w:t>Two sections that both turn on measurement. Section 11.2, current harmonics and rotor heating: why converter harmonics matter more at high speed, because they are deposited in a rotor that the air gap and the retaining sleeve thermally isolate, with the measured harmonic losses of converter-fed machines; the section is settled against the rotor thermal path of Chapter 10. Section 12.4, the test rig, instrumentation and loss segregation at high speed, where the electrical methods fail and calorimetric ones must take over; we would like this written in enough detail that a reader can reproduce the method.</w:t>
      </w:r>
    </w:p>
    <w:p>
      <w:pPr>
        <w:jc w:val="both"/>
      </w:pPr>
      <w:r>
        <w:t>Budget: about 5 pages and 3 figures in Chapter 11, and 6 pages and 5 figures in Chapter 12. Chapter owners [Hüseyin Canseven for Chapter 11; Juha Pyrhönen for Chapter 12]. First drafts with Part IV at month 20 after contract.</w:t>
      </w:r>
    </w:p>
    <w:p>
      <w:pPr>
        <w:pStyle w:val="Heading3"/>
      </w:pPr>
      <w:r>
        <w:t>[Marko Hinkkanen / Olli Pyrhönen]</w:t>
      </w:r>
    </w:p>
    <w:p>
      <w:pPr>
        <w:jc w:val="both"/>
      </w:pPr>
      <w:r>
        <w:t>The control half of Chapter 11: what changes when the pulse ratio falls to ten or below. Section 11.8, current regulation, overmodulation and six-step operation at low pulse ratios; 11.9, position sensing and sensorless operation at kilohertz fundamental frequency; and 11.10, run-up through critical speeds, field weakening and protection. The converter half of the chapter is led by Pasi Peltoniemi.</w:t>
      </w:r>
    </w:p>
    <w:p>
      <w:pPr>
        <w:jc w:val="both"/>
      </w:pPr>
      <w:r>
        <w:t>Budget: about 10 pages and 7 figures. Chapter owner [Hüseyin Canseven]. First draft with Part IV at month 20 after contract.</w:t>
      </w:r>
    </w:p>
    <w:p>
      <w:pPr>
        <w:pStyle w:val="Heading3"/>
      </w:pPr>
      <w:r>
        <w:t>Industrial bearing application specialist [name, company]</w:t>
      </w:r>
    </w:p>
    <w:p>
      <w:pPr>
        <w:jc w:val="both"/>
      </w:pPr>
      <w:r>
        <w:t>Chapter 6 is the chapter an industrial reader opens first, because the first practical question about a high-speed machine is which bearing, lubricated how, lasting how long. The rotor-bearing interaction and the fluid-film, air-foil and magnetic bearings are written by Jussi Sopanen's group at LUT University. We would ask you for the practice: in 6.2, hybrid ceramic bearings, cage design and preload, the lubrication regimes from grease through oil-mist to under-race oil, and Dn limits and life calculation at high speed; and 6.7, seals, labyrinth, brush and dry gas seals, seal windage and heating, and hermetic designs.</w:t>
      </w:r>
    </w:p>
    <w:p>
      <w:pPr>
        <w:jc w:val="both"/>
      </w:pPr>
      <w:r>
        <w:t>Budget: about 9 pages and 6 figures. Chapter owner [Ilya Petrov]. First draft with Part II at month 11 after contract.</w:t>
      </w:r>
    </w:p>
    <w:p>
      <w:pPr>
        <w:pStyle w:val="Heading3"/>
      </w:pPr>
      <w:r>
        <w:t>Aerospace contributor [name, organisation]</w:t>
      </w:r>
    </w:p>
    <w:p>
      <w:pPr>
        <w:jc w:val="both"/>
      </w:pPr>
      <w:r>
        <w:t>Section 13.2, a high-specific-power aerospace generator, as the case that shows the extreme of the mass-limited paradigm and the qualification culture of the aerospace industry: the specification, the design decisions that differ from those of the traction machine in 13.1, and the test and qualification programme. Measured data would make the section; a design study with representative numbers is acceptable if data cannot be released.</w:t>
      </w:r>
    </w:p>
    <w:p>
      <w:pPr>
        <w:jc w:val="both"/>
      </w:pPr>
      <w:r>
        <w:t>Budget: about 7 pages and 6 figures. Chapter owner [Ilya Petrov]. First draft with Part IV at month 20 after contract.</w:t>
      </w:r>
    </w:p>
    <w:p>
      <w:r>
        <w:br w:type="page"/>
      </w:r>
    </w:p>
    <w:p>
      <w:pPr>
        <w:pStyle w:val="Heading2"/>
      </w:pPr>
      <w:r>
        <w:t>4. Letter of support (template for the contributor to sign)</w:t>
      </w:r>
    </w:p>
    <w:p>
      <w:pPr>
        <w:jc w:val="both"/>
      </w:pPr>
      <w:r>
        <w:t>[Institution letterhead]</w:t>
      </w:r>
    </w:p>
    <w:p>
      <w:pPr>
        <w:jc w:val="both"/>
      </w:pPr>
      <w:r>
        <w:t>[Date]</w:t>
      </w:r>
    </w:p>
    <w:p>
      <w:pPr>
        <w:jc w:val="both"/>
      </w:pPr>
      <w:r>
        <w:t>To: The Editors, Wiley-IEEE Press</w:t>
      </w:r>
    </w:p>
    <w:p>
      <w:pPr>
        <w:jc w:val="both"/>
      </w:pPr>
      <w:r>
        <w:t xml:space="preserve">Re: Book proposal </w:t>
      </w:r>
      <w:r>
        <w:rPr>
          <w:i/>
        </w:rPr>
        <w:t>High-Speed Electrical Machines and Drives: Design for Industrial and Mobile Applications</w:t>
      </w:r>
      <w:r>
        <w:t xml:space="preserve"> by H. Canseven, I. Petrov and J. Pyrhönen</w:t>
      </w:r>
    </w:p>
    <w:p>
      <w:pPr>
        <w:jc w:val="both"/>
      </w:pPr>
      <w:r>
        <w:t>Dear Editors,</w:t>
      </w:r>
    </w:p>
    <w:p>
      <w:pPr>
        <w:jc w:val="both"/>
      </w:pPr>
      <w:r>
        <w:t>I have read the table of contents and the sample chapter of the proposed book, and I write to confirm my support for the proposal and my intention to contribute to it.</w:t>
      </w:r>
    </w:p>
    <w:p>
      <w:pPr>
        <w:jc w:val="both"/>
      </w:pPr>
      <w:r>
        <w:t>[One or two sentences on the need for the book, from the writer's own field. For example: "In my work on the dynamics of high-speed rotors I regularly meet electrical-machine designers who have no design reference for the mechanical constraints of their rotors, and no current book gives them one." Or: "The compressor industry has moved to gearless high-speed drives without a design text that treats the machine and its converter together."]</w:t>
      </w:r>
    </w:p>
    <w:p>
      <w:pPr>
        <w:jc w:val="both"/>
      </w:pPr>
      <w:r>
        <w:t>Subject to the publishing contract, I intend to contribute [Chapter N / sections N.x to N.y, title] of the book, [with members of my group / with my colleagues at …], within the scope and budget agreed with the authors. [One or two sentences on the writer's basis for the contribution: years of work in the area, the group's relevant publications or projects, the measured data or facilities that will be drawn on.]</w:t>
      </w:r>
    </w:p>
    <w:p>
      <w:pPr>
        <w:jc w:val="both"/>
      </w:pPr>
      <w:r>
        <w:t>The book will fill a real gap between the review literature and the research monographs on high-speed machines, and I look forward to taking part in it.</w:t>
      </w:r>
    </w:p>
    <w:p>
      <w:pPr>
        <w:jc w:val="both"/>
      </w:pPr>
      <w:r>
        <w:t>Yours sincerely,</w:t>
      </w:r>
    </w:p>
    <w:p>
      <w:pPr>
        <w:jc w:val="both"/>
      </w:pPr>
      <w:r>
        <w:t>[Name]</w:t>
      </w:r>
    </w:p>
    <w:p>
      <w:pPr>
        <w:jc w:val="both"/>
      </w:pPr>
      <w:r>
        <w:t>[Position, institution]</w:t>
      </w:r>
    </w:p>
    <w:p>
      <w:pPr>
        <w:jc w:val="both"/>
      </w:pPr>
      <w:r>
        <w:t>[Email]</w:t>
      </w:r>
    </w:p>
    <w:p>
      <w:r>
        <w:br w:type="page"/>
      </w:r>
    </w:p>
    <w:p>
      <w:pPr>
        <w:pStyle w:val="Heading2"/>
      </w:pPr>
      <w:r>
        <w:t>5. Expression of interest by email (where letterhead is impractical)</w:t>
      </w:r>
    </w:p>
    <w:p>
      <w:pPr>
        <w:jc w:val="both"/>
      </w:pPr>
      <w:r>
        <w:t xml:space="preserve">I confirm that I have read the proposal for </w:t>
      </w:r>
      <w:r>
        <w:rPr>
          <w:i/>
        </w:rPr>
        <w:t>High-Speed Electrical Machines and Drives: Design for Industrial and Mobile Applications</w:t>
      </w:r>
      <w:r>
        <w:t xml:space="preserve"> and that, subject to the publishing contract, I intend to contribute [Chapter N / sections N.x to N.y] within the budget and schedule agreed with the authors. The book addresses a gap I recognise from my own work on [topic], and I support the proposal.</w:t>
      </w:r>
    </w:p>
    <w:p>
      <w:pPr>
        <w:jc w:val="both"/>
      </w:pPr>
      <w:r>
        <w:t>[Name, position, institution, date]</w:t>
      </w:r>
    </w:p>
    <w:p>
      <w:r>
        <w:br w:type="page"/>
      </w:r>
    </w:p>
    <w:p>
      <w:pPr>
        <w:pStyle w:val="Heading2"/>
      </w:pPr>
      <w:r>
        <w:t>6. Checklist before the invitations go out</w:t>
      </w:r>
    </w:p>
    <w:p>
      <w:pPr>
        <w:pStyle w:val="ListBullet"/>
      </w:pPr>
      <w:r>
        <w:t>Author order decided, and the same order used in every mail, the terms sheet and the letter template.</w:t>
      </w:r>
    </w:p>
    <w:p>
      <w:pPr>
        <w:pStyle w:val="ListBullet"/>
      </w:pPr>
      <w:r>
        <w:t>Remuneration option chosen and the other options deleted from every terms sheet.</w:t>
      </w:r>
    </w:p>
    <w:p>
      <w:pPr>
        <w:pStyle w:val="ListBullet"/>
      </w:pPr>
      <w:r>
        <w:t>Submission date, reply date and letter date filled in.</w:t>
      </w:r>
    </w:p>
    <w:p>
      <w:pPr>
        <w:pStyle w:val="ListBullet"/>
      </w:pPr>
      <w:r>
        <w:t>Chapter owners named, and the same owner named in every block that refers to a chapter.</w:t>
      </w:r>
    </w:p>
    <w:p>
      <w:pPr>
        <w:pStyle w:val="ListBullet"/>
      </w:pPr>
      <w:r>
        <w:t>Contributors table in the attached table of contents cleaned of the Status column and of names not yet asked.</w:t>
      </w:r>
    </w:p>
    <w:p>
      <w:pPr>
        <w:pStyle w:val="ListBullet"/>
      </w:pPr>
      <w:r>
        <w:t>Phone calls made to Jussi Sopanen (who writes) and Juha Saari (data clearance) before their mails go.</w:t>
      </w:r>
    </w:p>
    <w:p>
      <w:pPr>
        <w:pStyle w:val="ListBullet"/>
      </w:pPr>
      <w:r>
        <w:t>Janne Nerg's invitation is now a chapter lead rather than one section; it should go early, because Chapter 10 is the newest part of the plan and the proposal names him as its lead.</w:t>
      </w:r>
    </w:p>
    <w:p>
      <w:pPr>
        <w:pStyle w:val="ListBullet"/>
      </w:pPr>
      <w:r>
        <w:t>One invitee chosen between Marko Hinkkanen and Olli Pyrhönen.</w:t>
      </w:r>
    </w:p>
    <w:p>
      <w:pPr>
        <w:pStyle w:val="ListBullet"/>
      </w:pPr>
      <w:r>
        <w:t>Bearing specialist and aerospace contributor identified, or those two blocks held back until they 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Contributor invitation and letter of support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