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Attach to every one:</w:t>
      </w:r>
      <w:r>
        <w:t xml:space="preserve"> the draft letter of support, and nothing else for the moment.</w:t>
      </w:r>
    </w:p>
    <w:p>
      <w:pPr>
        <w:jc w:val="both"/>
      </w:pPr>
      <w:r>
        <w:t>Chapter 1 and the annotated table of contents go to the publisher, not to the invitees,</w:t>
      </w:r>
    </w:p>
    <w:p>
      <w:pPr>
        <w:jc w:val="both"/>
      </w:pPr>
      <w:r>
        <w:t>so each email carries its own description of the invitee's part instead. When those</w:t>
      </w:r>
    </w:p>
    <w:p>
      <w:pPr>
        <w:jc w:val="both"/>
      </w:pPr>
      <w:r>
        <w:t>documents do eventually circulate, delete the Status column from the contributor table</w:t>
      </w:r>
    </w:p>
    <w:p>
      <w:pPr>
        <w:jc w:val="both"/>
      </w:pPr>
      <w:r>
        <w:t>first, so that nobody reads that a colleague is "suggested".</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industrial applications, windage, compressor case</w:t>
      </w:r>
    </w:p>
    <w:p>
      <w:pPr>
        <w:jc w:val="both"/>
      </w:pPr>
      <w:r>
        <w:t>Hello Juha,</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on the industrial side, in three places. One chapter covers the applications, the gearless compressors, blowers and ORC units, and the reasons the gearbox disappeared from them. Two later chapters need the windage and the air-gap flow, where we would much rather have your correlations presented by their author than cited by us. And one of the case-study chapters is built on a gearless compressor drive carried from specification to measured performance. You could write these yourself or with colleagues, and everyone who contributes is named at the head of the chapter. Once the publisher has approved the proposal, we will send you the detailed structure.</w:t>
      </w:r>
    </w:p>
    <w:p>
      <w:pPr>
        <w:jc w:val="both"/>
      </w:pPr>
      <w:r>
        <w:t>One question we should settle early. The compressor case rests on measured data, and that machine runs through the whole book. Could you find out what [company] would allow us to publish? If the data cannot be released, we would rather choose a different machine now than late.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Janne Nerg — thermal management and cooling</w:t>
      </w:r>
    </w:p>
    <w:p>
      <w:pPr>
        <w:jc w:val="both"/>
      </w:pPr>
      <w:r>
        <w:t>Hello Janne,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thermal management and cooling, and we would like you to lead it. The thermal problem turns around at high speed: the losses concentrate while the surface that has to reject them shrinks, and the rotor, which is the easy side in an ordinary machine, sits behind a retaining sleeve that the mechanical design requires and that also insulates it. The chapter would cover the heat paths, the stator and rotor cooling architectures, thermal networks and transient behaviour, and the magnet temperature that usually turns out to be the binding constraint. You could write it yourself or with colleagues, and everyone who contributes is named at the head of the chapter. Once the publisher has approved the proposal, we will send you the detailed structure and show how the chapter fits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Pasi Peltoniemi — the drive</w:t>
      </w:r>
    </w:p>
    <w:p>
      <w:pPr>
        <w:jc w:val="both"/>
      </w:pPr>
      <w:r>
        <w:rPr>
          <w:i/>
        </w:rPr>
        <w:t>He has already agreed to contribute, so this confirms rather than asks.</w:t>
      </w:r>
    </w:p>
    <w:p>
      <w:pPr>
        <w:jc w:val="both"/>
      </w:pPr>
      <w:r>
        <w:t>Hello Pasi,</w:t>
      </w:r>
    </w:p>
    <w:p>
      <w:pPr>
        <w:jc w:val="both"/>
      </w:pPr>
      <w:r>
        <w:t>Thank you again for supporting the book idea when we discussed it,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write the converter part of it. The book treats the converter not as one constraint among several but as the gatekeeper that decides which machines can be built at all, so this part carries a good deal of the argument: the converter interface and the modulation ratio, silicon against SiC and GaN, DC-link voltage and du/dt, insulation under fast switching, bearing currents, and converter integration and EMC. We would also like your help on the section that matches each of the two example machines to its converter. The control sections of the chapter, and the section on harmonic losses, are being covered separately, so the part we are asking you for stays within the converter itself.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if you would rather write some of it with colleagues, tell us whom, and we will name them in the proposal.</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on the measurement side, in two sections. One is the harmonic losses that a converter deposits in a rotor which the air gap and the retaining sleeve keep thermally isolated, which is why supply harmonics matter more at high speed than at mains frequency. The other is the test rig, the instrumentation and the loss segregation of a high-speed machine, where the electrical methods run out and calorimetry has to take over; we would like that written in enough detail that a reader can repeat it.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Marko Hinkkanen or Olli Pyrhönen — control at low pulse ratios</w:t>
      </w:r>
    </w:p>
    <w:p>
      <w:pPr>
        <w:jc w:val="both"/>
      </w:pPr>
      <w:r>
        <w:rPr>
          <w:i/>
        </w:rPr>
        <w:t>Send to one of the two, not both.</w:t>
      </w:r>
    </w:p>
    <w:p>
      <w:pPr>
        <w:jc w:val="both"/>
      </w:pPr>
      <w:r>
        <w:t>Hello [Marko],</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the control part of the drive chapter: what changes when the fundamental frequency is so high that the pulse ratio falls to ten or below. That means current regulation and overmodulation at low pulse ratios, position sensing and sensorless operation at kilohertz fundamental frequency, and run-up through the critical speeds together with field weakening and protection. The converter part of the same chapter would be written by Pasi Peltoniemi.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Aerospace contributor — high-specific-power generator case study</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book closes with case studies, and one of them should be an aerospace generator, as the extreme of the mass-limited design that runs through the whole text: the specification, the design decisions that differ from those of a traction machine, and the test and qualification programme. Measured data would make the section, but a design study with representative numbers would serve if nothing can be released.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