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p>
    <w:p>
      <w:pPr>
        <w:jc w:val="both"/>
      </w:pPr>
      <w:r>
        <w:t>Authors: Hüseyin Canseven, Ilya Petrov, Juha Pyrhönen (LUT University), with named contributors per chapter.</w:t>
      </w:r>
    </w:p>
    <w:p>
      <w:pPr>
        <w:jc w:val="both"/>
      </w:pPr>
      <w:r>
        <w:t xml:space="preserve">&gt; </w:t>
      </w:r>
      <w:r>
        <w:rPr>
          <w:b/>
        </w:rPr>
        <w:t>Confidential — unpublished draft.</w:t>
      </w:r>
      <w:r>
        <w:t xml:space="preserve"> This annotated table of contents is an unpublished working document prepared for a book proposal that has not yet been submitted to Wiley-IEEE Press. It is sent to you in confidence and solely so that you can judge whether to take part. Please do not forward, circulate, post or quote it, in whole or in part, without the authors’ written permission. If you invite a co-author, you may of course show it to them on the same terms. © 2026 H. T. Canseven, I. Petrov and J. Pyrhönen. All rights reserved.</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11 and 12,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P. Rasilo</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the converter interface</w:t>
            </w:r>
          </w:p>
        </w:tc>
        <w:tc>
          <w:tcPr>
            <w:tcW w:type="dxa" w:w="1234"/>
          </w:tcPr>
          <w:p>
            <w:r>
              <w:rPr>
                <w:sz w:val="19"/>
              </w:rPr>
            </w:r>
            <w:r>
              <w:rPr>
                <w:sz w:val="19"/>
              </w:rPr>
              <w:t>24</w:t>
            </w:r>
          </w:p>
        </w:tc>
        <w:tc>
          <w:tcPr>
            <w:tcW w:type="dxa" w:w="1234"/>
          </w:tcPr>
          <w:p>
            <w:r>
              <w:rPr>
                <w:sz w:val="19"/>
              </w:rPr>
            </w:r>
            <w:r>
              <w:rPr>
                <w:sz w:val="19"/>
              </w:rPr>
              <w:t>9 600</w:t>
            </w:r>
          </w:p>
        </w:tc>
        <w:tc>
          <w:tcPr>
            <w:tcW w:type="dxa" w:w="1234"/>
          </w:tcPr>
          <w:p>
            <w:r>
              <w:rPr>
                <w:sz w:val="19"/>
              </w:rPr>
            </w:r>
            <w:r>
              <w:rPr>
                <w:sz w:val="19"/>
              </w:rPr>
              <w:t>16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Control at high fundamental frequency</w:t>
            </w:r>
          </w:p>
        </w:tc>
        <w:tc>
          <w:tcPr>
            <w:tcW w:type="dxa" w:w="1234"/>
          </w:tcPr>
          <w:p>
            <w:r>
              <w:rPr>
                <w:sz w:val="19"/>
              </w:rPr>
            </w:r>
            <w:r>
              <w:rPr>
                <w:sz w:val="19"/>
              </w:rPr>
              <w:t>18</w:t>
            </w:r>
          </w:p>
        </w:tc>
        <w:tc>
          <w:tcPr>
            <w:tcW w:type="dxa" w:w="1234"/>
          </w:tcPr>
          <w:p>
            <w:r>
              <w:rPr>
                <w:sz w:val="19"/>
              </w:rPr>
            </w:r>
            <w:r>
              <w:rPr>
                <w:sz w:val="19"/>
              </w:rPr>
              <w:t>7 200</w:t>
            </w:r>
          </w:p>
        </w:tc>
        <w:tc>
          <w:tcPr>
            <w:tcW w:type="dxa" w:w="1234"/>
          </w:tcPr>
          <w:p>
            <w:r>
              <w:rPr>
                <w:sz w:val="19"/>
              </w:rPr>
            </w:r>
            <w:r>
              <w:rPr>
                <w:sz w:val="19"/>
              </w:rPr>
              <w:t>12</w:t>
            </w:r>
          </w:p>
        </w:tc>
        <w:tc>
          <w:tcPr>
            <w:tcW w:type="dxa" w:w="1234"/>
          </w:tcPr>
          <w:p>
            <w:r>
              <w:rPr>
                <w:sz w:val="19"/>
              </w:rPr>
            </w:r>
            <w:r>
              <w:rPr>
                <w:sz w:val="19"/>
              </w:rPr>
              <w:t>M. Hinkkanen</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J. Tiainen and A. Jaatinen-Värri</w:t>
            </w:r>
          </w:p>
        </w:tc>
      </w:tr>
      <w:tr>
        <w:tc>
          <w:tcPr>
            <w:tcW w:type="dxa" w:w="1234"/>
          </w:tcPr>
          <w:p>
            <w:r>
              <w:rPr>
                <w:sz w:val="19"/>
              </w:rPr>
            </w:r>
          </w:p>
        </w:tc>
        <w:tc>
          <w:tcPr>
            <w:tcW w:type="dxa" w:w="1234"/>
          </w:tcPr>
          <w:p>
            <w:r>
              <w:rPr>
                <w:sz w:val="19"/>
              </w:rPr>
            </w:r>
            <w:r>
              <w:rPr>
                <w:sz w:val="19"/>
              </w:rPr>
              <w:t>14</w:t>
            </w:r>
          </w:p>
        </w:tc>
        <w:tc>
          <w:tcPr>
            <w:tcW w:type="dxa" w:w="1234"/>
          </w:tcPr>
          <w:p>
            <w:r>
              <w:rPr>
                <w:sz w:val="19"/>
              </w:rPr>
            </w:r>
            <w:r>
              <w:rPr>
                <w:sz w:val="19"/>
              </w:rPr>
              <w:t>Mobile case studies: traction</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J. Pippuri-Mäkeläinen</w:t>
            </w:r>
          </w:p>
        </w:tc>
      </w:tr>
      <w:tr>
        <w:tc>
          <w:tcPr>
            <w:tcW w:type="dxa" w:w="1234"/>
          </w:tcPr>
          <w:p>
            <w:r>
              <w:rPr>
                <w:sz w:val="19"/>
              </w:rPr>
            </w:r>
          </w:p>
        </w:tc>
        <w:tc>
          <w:tcPr>
            <w:tcW w:type="dxa" w:w="1234"/>
          </w:tcPr>
          <w:p>
            <w:r>
              <w:rPr>
                <w:sz w:val="19"/>
              </w:rPr>
            </w:r>
          </w:p>
        </w:tc>
        <w:tc>
          <w:tcPr>
            <w:tcW w:type="dxa" w:w="1234"/>
          </w:tcPr>
          <w:p>
            <w:r>
              <w:rPr>
                <w:sz w:val="19"/>
              </w:rPr>
            </w:r>
            <w:r>
              <w:rPr>
                <w:b/>
                <w:sz w:val="19"/>
              </w:rPr>
              <w:t>Chapters 1–14</w:t>
            </w:r>
          </w:p>
        </w:tc>
        <w:tc>
          <w:tcPr>
            <w:tcW w:type="dxa" w:w="1234"/>
          </w:tcPr>
          <w:p>
            <w:r>
              <w:rPr>
                <w:sz w:val="19"/>
              </w:rPr>
            </w:r>
            <w:r>
              <w:rPr>
                <w:b/>
                <w:sz w:val="19"/>
              </w:rPr>
              <w:t>412</w:t>
            </w:r>
          </w:p>
        </w:tc>
        <w:tc>
          <w:tcPr>
            <w:tcW w:type="dxa" w:w="1234"/>
          </w:tcPr>
          <w:p>
            <w:r>
              <w:rPr>
                <w:sz w:val="19"/>
              </w:rPr>
            </w:r>
            <w:r>
              <w:rPr>
                <w:b/>
                <w:sz w:val="19"/>
              </w:rPr>
              <w:t>161 700</w:t>
            </w:r>
          </w:p>
        </w:tc>
        <w:tc>
          <w:tcPr>
            <w:tcW w:type="dxa" w:w="1234"/>
          </w:tcPr>
          <w:p>
            <w:r>
              <w:rPr>
                <w:sz w:val="19"/>
              </w:rPr>
            </w:r>
            <w:r>
              <w:rPr>
                <w:b/>
                <w:sz w:val="19"/>
              </w:rPr>
              <w:t>265</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452</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their control in Chapter 12, and are assembled into complete, measured designs in Chapters 13 and 14. Every design chapter therefore ends with the same two worked examples, and the reader can follow one machine through the whole procedure.</w:t>
      </w:r>
    </w:p>
    <w:p>
      <w:pPr>
        <w:jc w:val="both"/>
      </w:pPr>
      <w:r>
        <w:rPr>
          <w:b/>
        </w:rPr>
        <w:t>A closing comparison in every design chapter.</w:t>
      </w:r>
      <w:r>
        <w:t xml:space="preserve"> Chapters 3 to 12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Owner: J. Saari of Upheat, who covers the industrial applications and the high-temperature heat pump of §2.8 from a manufacturer, and who recruits co-authors for §2.2, the aerodynamic optimum, and for the mobile applications.</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A. Belahcen (loss modelling, materials, manufacturing effects), with I. Petrov on the rotor losses and a co-author of his choosing for the windage of §9.8; J. Saari, whose correlations the section rests on, is the natural name for it.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the converter interface</w:t>
      </w:r>
    </w:p>
    <w:p>
      <w:pPr>
        <w:jc w:val="both"/>
      </w:pPr>
      <w:r>
        <w:t>The converter is not a fourth constraint but the gatekeeper that decides which region of the design space can be reached at all. The chapter develops the modulation ratio and the synchronous-PWM and control-stability thresholds, then shows why current harmonics matter more at high speed: they are deposited in a rotor that the air gap and the retaining sleeve thermally isolate, so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chapter closes with the co-design procedure, matching pole count to converter capability, applied to both running machines; Chapter 12 then takes up what the resulting pulse ratio does to the control.</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Co-design of the two running machines with their converters.</w:t>
      </w:r>
    </w:p>
    <w:p>
      <w:pPr>
        <w:jc w:val="both"/>
      </w:pPr>
      <w:r>
        <w:t>Budget: 24 pages, 16 figures, 2 tables. Owner: P. Peltoniemi, who recruits §11.2 on harmonic losses; L. Aarniovuori is the intended name for it. DREM boundary: not covered in the earlier book.</w:t>
      </w:r>
    </w:p>
    <w:p>
      <w:pPr>
        <w:pStyle w:val="Heading4"/>
      </w:pPr>
      <w:r>
        <w:t>Chapter 12. Control at high fundamental frequency</w:t>
      </w:r>
    </w:p>
    <w:p>
      <w:pPr>
        <w:jc w:val="both"/>
      </w:pPr>
      <w:r>
        <w:t>Chapter 11 leaves the designer with a pulse ratio; this chapter says what can then be done with it. Almost all drive control is developed on the assumption that the switching frequency lies far above the fundamental, so that the converter can be treated as a continuous voltage source and the controller designed by continuous-time methods. At eight or ten pulses in a fundamental period that assumption fails: the computational and modulation delays occupy a substantial part of the period, the discrete-time nature of the controller stops being an implementation detail, and the achievable current-control bandwidth becomes a constraint on the machine rather than a property of the controller. Current regulation, overmodulation and six-step operation are developed on that basis. Position sensing and sensorless operation are treated at kilohertz fundamental frequency, where the back-EMF is generous but the sampling is not, and the conditions under which each method remains valid are stated rather than left to the reader. Run-up through the critical speeds of Chapter 5, field weakening and protection close the technical part, and the chapter ends with the control of the two running machines.</w:t>
      </w:r>
    </w:p>
    <w:p>
      <w:pPr>
        <w:jc w:val="both"/>
      </w:pPr>
      <w:r>
        <w:t>Sections: 12.1 What changes when the pulse ratio falls to ten · 12.2 Current regulation, overmodulation and six-step operation · 12.3 Position sensing and sensorless operation at high fundamental frequency · 12.4 Run-up through the critical speeds · 12.5 Field weakening and protection · 12.6 Control of the two running machines.</w:t>
      </w:r>
    </w:p>
    <w:p>
      <w:pPr>
        <w:jc w:val="both"/>
      </w:pPr>
      <w:r>
        <w:t>Budget: 18 pages, 12 figures, 1 table. Owner: M. Hinkkanen. New: the pulse-ratio limit stated as a machine-design constraint rather than a control problem. DREM boundary: not covered in the earlier book.</w:t>
      </w:r>
    </w:p>
    <w:p>
      <w:pPr>
        <w:pStyle w:val="Heading4"/>
      </w:pPr>
      <w:r>
        <w:t>Chapter 13.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13.1 The gearless compressor drive: from specification to measured performance · 13.2 The ORC turbogenerator · 13.3 Manufacture and tolerance control · 13.4 Test rig, instrumentation and loss segregation at high speed · 13.5 Qualification against standards · 13.6 Failure modes and design lessons.</w:t>
      </w:r>
    </w:p>
    <w:p>
      <w:pPr>
        <w:jc w:val="both"/>
      </w:pPr>
      <w:r>
        <w:t>Budget: 28 pages, 22 figures, 3 tables. Owners: J. Tiainen and A. Jaatinen-Värri, with A. Jaatinen-Värri as the point of contact. Contributors: the authors and I. Petrov on the machine of §13.1, J. Ikäheimo (manufacture and tolerance control, §13.3, and qualification against the standards, §13.5, both written from a manufacturer's practice), L. Aarniovuori (test rig and loss segregation, §13.4), J. Tiainen (industrial perspective). New: measured case data, and photographs of built machines and rotors supplied by the industrial contributors, which no competing title has.</w:t>
      </w:r>
    </w:p>
    <w:p>
      <w:pPr>
        <w:pStyle w:val="Heading4"/>
      </w:pPr>
      <w:r>
        <w:t>Chapter 14. Mobile case studies: traction</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13. A closing section revisits the two paradigms with the completed designs in hand and states, with numbers, why the same physics produces opposite machines.</w:t>
      </w:r>
    </w:p>
    <w:p>
      <w:pPr>
        <w:jc w:val="both"/>
      </w:pPr>
      <w:r>
        <w:t>Sections: 14.1 The Voltcar traction machine: from specification to measured performance · 14.2 A high-specific-power aerospace generator · 14.3 An e-turbocharger above 100 000 r/min · 14.4 Testing under drive-cycle and thermal transients · 14.5 Overspeed, thermal and endurance qualification · 14.6 Failure modes and design lessons · 14.7 The two paradigms revisited.</w:t>
      </w:r>
    </w:p>
    <w:p>
      <w:pPr>
        <w:jc w:val="both"/>
      </w:pPr>
      <w:r>
        <w:t>Budget: 30 pages, 24 figures, 3 tables. Owner: J. Pippuri-Mäkeläinen of VTT, who manages the Voltcar project and writes §14.1; she recruits for §14.2 and §14.3, and §14.7, the closing synthesis of the two paradigms, is written jointly with the authors. New: measured case data from a current EU project, used with the project’s agreement.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Chapters</w:t>
            </w:r>
          </w:p>
        </w:tc>
        <w:tc>
          <w:tcPr>
            <w:tcW w:type="dxa" w:w="2880"/>
          </w:tcPr>
          <w:p>
            <w:r>
              <w:rPr>
                <w:b/>
                <w:sz w:val="19"/>
              </w:rPr>
            </w:r>
            <w:r>
              <w:rPr>
                <w:b/>
                <w:sz w:val="19"/>
              </w:rPr>
              <w:t>Owner</w:t>
            </w:r>
          </w:p>
        </w:tc>
        <w:tc>
          <w:tcPr>
            <w:tcW w:type="dxa" w:w="2880"/>
          </w:tcPr>
          <w:p>
            <w:r>
              <w:rPr>
                <w:b/>
                <w:sz w:val="19"/>
              </w:rPr>
            </w:r>
            <w:r>
              <w:rPr>
                <w:b/>
                <w:sz w:val="19"/>
              </w:rPr>
              <w:t>Affiliation</w:t>
            </w:r>
          </w:p>
        </w:tc>
      </w:tr>
      <w:tr>
        <w:tc>
          <w:tcPr>
            <w:tcW w:type="dxa" w:w="2880"/>
          </w:tcPr>
          <w:p>
            <w:r>
              <w:rPr>
                <w:sz w:val="19"/>
              </w:rPr>
            </w:r>
            <w:r>
              <w:rPr>
                <w:sz w:val="19"/>
              </w:rPr>
              <w:t>2 — Applications and system architectures</w:t>
            </w:r>
          </w:p>
        </w:tc>
        <w:tc>
          <w:tcPr>
            <w:tcW w:type="dxa" w:w="2880"/>
          </w:tcPr>
          <w:p>
            <w:r>
              <w:rPr>
                <w:sz w:val="19"/>
              </w:rPr>
            </w:r>
            <w:r>
              <w:rPr>
                <w:sz w:val="19"/>
              </w:rPr>
              <w:t>Juha Saari</w:t>
            </w:r>
          </w:p>
        </w:tc>
        <w:tc>
          <w:tcPr>
            <w:tcW w:type="dxa" w:w="2880"/>
          </w:tcPr>
          <w:p>
            <w:r>
              <w:rPr>
                <w:sz w:val="19"/>
              </w:rPr>
            </w:r>
            <w:r>
              <w:rPr>
                <w:sz w:val="19"/>
              </w:rPr>
              <w:t>Upheat, high-temperature heat pumps</w:t>
            </w:r>
          </w:p>
        </w:tc>
      </w:tr>
      <w:tr>
        <w:tc>
          <w:tcPr>
            <w:tcW w:type="dxa" w:w="2880"/>
          </w:tcPr>
          <w:p>
            <w:r>
              <w:rPr>
                <w:sz w:val="19"/>
              </w:rPr>
            </w:r>
            <w:r>
              <w:rPr>
                <w:sz w:val="19"/>
              </w:rPr>
              <w:t>4, 5, 6 — the whole of Part II</w:t>
            </w:r>
          </w:p>
        </w:tc>
        <w:tc>
          <w:tcPr>
            <w:tcW w:type="dxa" w:w="2880"/>
          </w:tcPr>
          <w:p>
            <w:r>
              <w:rPr>
                <w:sz w:val="19"/>
              </w:rPr>
            </w:r>
            <w:r>
              <w:rPr>
                <w:sz w:val="19"/>
              </w:rPr>
              <w:t>Jussi Sopanen</w:t>
            </w:r>
          </w:p>
        </w:tc>
        <w:tc>
          <w:tcPr>
            <w:tcW w:type="dxa" w:w="2880"/>
          </w:tcPr>
          <w:p>
            <w:r>
              <w:rPr>
                <w:sz w:val="19"/>
              </w:rPr>
            </w:r>
            <w:r>
              <w:rPr>
                <w:sz w:val="19"/>
              </w:rPr>
              <w:t>LUT, machine dynamics</w:t>
            </w:r>
          </w:p>
        </w:tc>
      </w:tr>
      <w:tr>
        <w:tc>
          <w:tcPr>
            <w:tcW w:type="dxa" w:w="2880"/>
          </w:tcPr>
          <w:p>
            <w:r>
              <w:rPr>
                <w:sz w:val="19"/>
              </w:rPr>
            </w:r>
            <w:r>
              <w:rPr>
                <w:sz w:val="19"/>
              </w:rPr>
              <w:t>8 — AC winding losses and conductor design</w:t>
            </w:r>
          </w:p>
        </w:tc>
        <w:tc>
          <w:tcPr>
            <w:tcW w:type="dxa" w:w="2880"/>
          </w:tcPr>
          <w:p>
            <w:r>
              <w:rPr>
                <w:sz w:val="19"/>
              </w:rPr>
            </w:r>
            <w:r>
              <w:rPr>
                <w:sz w:val="19"/>
              </w:rPr>
              <w:t>Anouar Belahcen</w:t>
            </w:r>
          </w:p>
        </w:tc>
        <w:tc>
          <w:tcPr>
            <w:tcW w:type="dxa" w:w="2880"/>
          </w:tcPr>
          <w:p>
            <w:r>
              <w:rPr>
                <w:sz w:val="19"/>
              </w:rPr>
            </w:r>
            <w:r>
              <w:rPr>
                <w:sz w:val="19"/>
              </w:rPr>
              <w:t>Aalto University</w:t>
            </w:r>
          </w:p>
        </w:tc>
      </w:tr>
      <w:tr>
        <w:tc>
          <w:tcPr>
            <w:tcW w:type="dxa" w:w="2880"/>
          </w:tcPr>
          <w:p>
            <w:r>
              <w:rPr>
                <w:sz w:val="19"/>
              </w:rPr>
            </w:r>
            <w:r>
              <w:rPr>
                <w:sz w:val="19"/>
              </w:rPr>
              <w:t>9 — Core, rotor and aerodynamic losses</w:t>
            </w:r>
          </w:p>
        </w:tc>
        <w:tc>
          <w:tcPr>
            <w:tcW w:type="dxa" w:w="2880"/>
          </w:tcPr>
          <w:p>
            <w:r>
              <w:rPr>
                <w:sz w:val="19"/>
              </w:rPr>
            </w:r>
            <w:r>
              <w:rPr>
                <w:sz w:val="19"/>
              </w:rPr>
              <w:t>Paavo Rasilo</w:t>
            </w:r>
          </w:p>
        </w:tc>
        <w:tc>
          <w:tcPr>
            <w:tcW w:type="dxa" w:w="2880"/>
          </w:tcPr>
          <w:p>
            <w:r>
              <w:rPr>
                <w:sz w:val="19"/>
              </w:rPr>
            </w:r>
            <w:r>
              <w:rPr>
                <w:sz w:val="19"/>
              </w:rPr>
              <w:t>Tampere University</w:t>
            </w:r>
          </w:p>
        </w:tc>
      </w:tr>
      <w:tr>
        <w:tc>
          <w:tcPr>
            <w:tcW w:type="dxa" w:w="2880"/>
          </w:tcPr>
          <w:p>
            <w:r>
              <w:rPr>
                <w:sz w:val="19"/>
              </w:rPr>
            </w:r>
            <w:r>
              <w:rPr>
                <w:sz w:val="19"/>
              </w:rPr>
              <w:t>10 — Thermal management and cooling</w:t>
            </w:r>
          </w:p>
        </w:tc>
        <w:tc>
          <w:tcPr>
            <w:tcW w:type="dxa" w:w="2880"/>
          </w:tcPr>
          <w:p>
            <w:r>
              <w:rPr>
                <w:sz w:val="19"/>
              </w:rPr>
            </w:r>
            <w:r>
              <w:rPr>
                <w:sz w:val="19"/>
              </w:rPr>
              <w:t>Rafal Wrobel</w:t>
            </w:r>
          </w:p>
        </w:tc>
        <w:tc>
          <w:tcPr>
            <w:tcW w:type="dxa" w:w="2880"/>
          </w:tcPr>
          <w:p>
            <w:r>
              <w:rPr>
                <w:sz w:val="19"/>
              </w:rPr>
            </w:r>
            <w:r>
              <w:rPr>
                <w:sz w:val="19"/>
              </w:rPr>
              <w:t>Newcastle University</w:t>
            </w:r>
          </w:p>
        </w:tc>
      </w:tr>
      <w:tr>
        <w:tc>
          <w:tcPr>
            <w:tcW w:type="dxa" w:w="2880"/>
          </w:tcPr>
          <w:p>
            <w:r>
              <w:rPr>
                <w:sz w:val="19"/>
              </w:rPr>
            </w:r>
            <w:r>
              <w:rPr>
                <w:sz w:val="19"/>
              </w:rPr>
              <w:t>11 — The drive: the converter interface</w:t>
            </w:r>
          </w:p>
        </w:tc>
        <w:tc>
          <w:tcPr>
            <w:tcW w:type="dxa" w:w="2880"/>
          </w:tcPr>
          <w:p>
            <w:r>
              <w:rPr>
                <w:sz w:val="19"/>
              </w:rPr>
            </w:r>
            <w:r>
              <w:rPr>
                <w:sz w:val="19"/>
              </w:rPr>
              <w:t>Pasi Peltoniemi</w:t>
            </w:r>
          </w:p>
        </w:tc>
        <w:tc>
          <w:tcPr>
            <w:tcW w:type="dxa" w:w="2880"/>
          </w:tcPr>
          <w:p>
            <w:r>
              <w:rPr>
                <w:sz w:val="19"/>
              </w:rPr>
            </w:r>
            <w:r>
              <w:rPr>
                <w:sz w:val="19"/>
              </w:rPr>
              <w:t>LUT, power electronics</w:t>
            </w:r>
          </w:p>
        </w:tc>
      </w:tr>
      <w:tr>
        <w:tc>
          <w:tcPr>
            <w:tcW w:type="dxa" w:w="2880"/>
          </w:tcPr>
          <w:p>
            <w:r>
              <w:rPr>
                <w:sz w:val="19"/>
              </w:rPr>
            </w:r>
            <w:r>
              <w:rPr>
                <w:sz w:val="19"/>
              </w:rPr>
              <w:t>12 — Control at high fundamental frequency</w:t>
            </w:r>
          </w:p>
        </w:tc>
        <w:tc>
          <w:tcPr>
            <w:tcW w:type="dxa" w:w="2880"/>
          </w:tcPr>
          <w:p>
            <w:r>
              <w:rPr>
                <w:sz w:val="19"/>
              </w:rPr>
            </w:r>
            <w:r>
              <w:rPr>
                <w:sz w:val="19"/>
              </w:rPr>
              <w:t>Marko Hinkkanen</w:t>
            </w:r>
          </w:p>
        </w:tc>
        <w:tc>
          <w:tcPr>
            <w:tcW w:type="dxa" w:w="2880"/>
          </w:tcPr>
          <w:p>
            <w:r>
              <w:rPr>
                <w:sz w:val="19"/>
              </w:rPr>
            </w:r>
            <w:r>
              <w:rPr>
                <w:sz w:val="19"/>
              </w:rPr>
              <w:t>Aalto University, electric drives</w:t>
            </w:r>
          </w:p>
        </w:tc>
      </w:tr>
      <w:tr>
        <w:tc>
          <w:tcPr>
            <w:tcW w:type="dxa" w:w="2880"/>
          </w:tcPr>
          <w:p>
            <w:r>
              <w:rPr>
                <w:sz w:val="19"/>
              </w:rPr>
            </w:r>
            <w:r>
              <w:rPr>
                <w:sz w:val="19"/>
              </w:rPr>
              <w:t>13 — Industrial case studies</w:t>
            </w:r>
          </w:p>
        </w:tc>
        <w:tc>
          <w:tcPr>
            <w:tcW w:type="dxa" w:w="2880"/>
          </w:tcPr>
          <w:p>
            <w:r>
              <w:rPr>
                <w:sz w:val="19"/>
              </w:rPr>
            </w:r>
            <w:r>
              <w:rPr>
                <w:sz w:val="19"/>
              </w:rPr>
              <w:t>Jonna Tiainen and Ahti Jaatinen-Värri</w:t>
            </w:r>
          </w:p>
        </w:tc>
        <w:tc>
          <w:tcPr>
            <w:tcW w:type="dxa" w:w="2880"/>
          </w:tcPr>
          <w:p>
            <w:r>
              <w:rPr>
                <w:sz w:val="19"/>
              </w:rPr>
            </w:r>
            <w:r>
              <w:rPr>
                <w:sz w:val="19"/>
              </w:rPr>
              <w:t>The Switch; LUT, turbomachinery</w:t>
            </w:r>
          </w:p>
        </w:tc>
      </w:tr>
      <w:tr>
        <w:tc>
          <w:tcPr>
            <w:tcW w:type="dxa" w:w="2880"/>
          </w:tcPr>
          <w:p>
            <w:r>
              <w:rPr>
                <w:sz w:val="19"/>
              </w:rPr>
            </w:r>
            <w:r>
              <w:rPr>
                <w:sz w:val="19"/>
              </w:rPr>
              <w:t>14 — Mobile case studies</w:t>
            </w:r>
          </w:p>
        </w:tc>
        <w:tc>
          <w:tcPr>
            <w:tcW w:type="dxa" w:w="2880"/>
          </w:tcPr>
          <w:p>
            <w:r>
              <w:rPr>
                <w:sz w:val="19"/>
              </w:rPr>
            </w:r>
            <w:r>
              <w:rPr>
                <w:sz w:val="19"/>
              </w:rPr>
              <w:t>Jenni Pippuri-Mäkeläinen</w:t>
            </w:r>
          </w:p>
        </w:tc>
        <w:tc>
          <w:tcPr>
            <w:tcW w:type="dxa" w:w="2880"/>
          </w:tcPr>
          <w:p>
            <w:r>
              <w:rPr>
                <w:sz w:val="19"/>
              </w:rPr>
            </w:r>
            <w:r>
              <w:rPr>
                <w:sz w:val="19"/>
              </w:rPr>
              <w:t>VTT, manager of the Voltcar project</w:t>
            </w:r>
          </w:p>
        </w:tc>
      </w:tr>
      <w:tr>
        <w:tc>
          <w:tcPr>
            <w:tcW w:type="dxa" w:w="2880"/>
          </w:tcPr>
          <w:p>
            <w:r>
              <w:rPr>
                <w:sz w:val="19"/>
              </w:rPr>
            </w:r>
            <w:r>
              <w:rPr>
                <w:sz w:val="19"/>
              </w:rPr>
              <w:t>1, 3, 7</w:t>
            </w:r>
          </w:p>
        </w:tc>
        <w:tc>
          <w:tcPr>
            <w:tcW w:type="dxa" w:w="2880"/>
          </w:tcPr>
          <w:p>
            <w:r>
              <w:rPr>
                <w:sz w:val="19"/>
              </w:rPr>
            </w:r>
            <w:r>
              <w:rPr>
                <w:sz w:val="19"/>
              </w:rPr>
              <w:t>the authors</w:t>
            </w:r>
          </w:p>
        </w:tc>
        <w:tc>
          <w:tcPr>
            <w:tcW w:type="dxa" w:w="2880"/>
          </w:tcPr>
          <w:p>
            <w:r>
              <w:rPr>
                <w:sz w:val="19"/>
              </w:rPr>
            </w:r>
            <w:r>
              <w:rPr>
                <w:sz w:val="19"/>
              </w:rPr>
              <w:t>LUT University</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the induction machines; 13, manufacture and qualification;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harmonic losses; 13, the test rig and loss segregation</w:t>
            </w:r>
          </w:p>
        </w:tc>
        <w:tc>
          <w:tcPr>
            <w:tcW w:type="dxa" w:w="2160"/>
          </w:tcPr>
          <w:p>
            <w:r>
              <w:rPr>
                <w:sz w:val="19"/>
              </w:rPr>
            </w:r>
            <w:r>
              <w:rPr>
                <w:sz w:val="19"/>
              </w:rPr>
              <w:t>P. Peltoniemi and the Chapter 13 owners</w:t>
            </w:r>
          </w:p>
        </w:tc>
      </w:tr>
      <w:tr>
        <w:tc>
          <w:tcPr>
            <w:tcW w:type="dxa" w:w="2160"/>
          </w:tcPr>
          <w:p>
            <w:r>
              <w:rPr>
                <w:sz w:val="19"/>
              </w:rPr>
            </w:r>
            <w:r>
              <w:rPr>
                <w:sz w:val="19"/>
              </w:rPr>
              <w:t>Ilya Petrov</w:t>
            </w:r>
          </w:p>
        </w:tc>
        <w:tc>
          <w:tcPr>
            <w:tcW w:type="dxa" w:w="2160"/>
          </w:tcPr>
          <w:p>
            <w:r>
              <w:rPr>
                <w:sz w:val="19"/>
              </w:rPr>
            </w:r>
            <w:r>
              <w:rPr>
                <w:sz w:val="19"/>
              </w:rPr>
              <w:t>LUT University, author</w:t>
            </w:r>
          </w:p>
        </w:tc>
        <w:tc>
          <w:tcPr>
            <w:tcW w:type="dxa" w:w="2160"/>
          </w:tcPr>
          <w:p>
            <w:r>
              <w:rPr>
                <w:sz w:val="19"/>
              </w:rPr>
            </w:r>
            <w:r>
              <w:rPr>
                <w:sz w:val="19"/>
              </w:rPr>
              <w:t>13, the electrical machine of §13.1</w:t>
            </w:r>
          </w:p>
        </w:tc>
        <w:tc>
          <w:tcPr>
            <w:tcW w:type="dxa" w:w="2160"/>
          </w:tcPr>
          <w:p>
            <w:r>
              <w:rPr>
                <w:sz w:val="19"/>
              </w:rPr>
            </w:r>
            <w:r>
              <w:rPr>
                <w:sz w:val="19"/>
              </w:rPr>
              <w:t>the Chapter 13 owners</w:t>
            </w:r>
          </w:p>
        </w:tc>
      </w:tr>
      <w:tr>
        <w:tc>
          <w:tcPr>
            <w:tcW w:type="dxa" w:w="2160"/>
          </w:tcPr>
          <w:p>
            <w:r>
              <w:rPr>
                <w:sz w:val="19"/>
              </w:rPr>
            </w:r>
            <w:r>
              <w:rPr>
                <w:sz w:val="19"/>
              </w:rPr>
              <w:t>a bearing application specialist</w:t>
            </w:r>
          </w:p>
        </w:tc>
        <w:tc>
          <w:tcPr>
            <w:tcW w:type="dxa" w:w="2160"/>
          </w:tcPr>
          <w:p>
            <w:r>
              <w:rPr>
                <w:sz w:val="19"/>
              </w:rPr>
            </w:r>
            <w:r>
              <w:rPr>
                <w:sz w:val="19"/>
              </w:rPr>
              <w:t>industry</w:t>
            </w:r>
          </w:p>
        </w:tc>
        <w:tc>
          <w:tcPr>
            <w:tcW w:type="dxa" w:w="2160"/>
          </w:tcPr>
          <w:p>
            <w:r>
              <w:rPr>
                <w:sz w:val="19"/>
              </w:rPr>
            </w:r>
            <w:r>
              <w:rPr>
                <w:sz w:val="19"/>
              </w:rPr>
              <w:t>6</w:t>
            </w:r>
          </w:p>
        </w:tc>
        <w:tc>
          <w:tcPr>
            <w:tcW w:type="dxa" w:w="2160"/>
          </w:tcPr>
          <w:p>
            <w:r>
              <w:rPr>
                <w:sz w:val="19"/>
              </w:rPr>
            </w:r>
            <w:r>
              <w:rPr>
                <w:sz w:val="19"/>
              </w:rPr>
              <w:t>J. Sopanen, from his network</w:t>
            </w:r>
          </w:p>
        </w:tc>
      </w:tr>
      <w:tr>
        <w:tc>
          <w:tcPr>
            <w:tcW w:type="dxa" w:w="2160"/>
          </w:tcPr>
          <w:p>
            <w:r>
              <w:rPr>
                <w:sz w:val="19"/>
              </w:rPr>
            </w:r>
            <w:r>
              <w:rPr>
                <w:sz w:val="19"/>
              </w:rPr>
              <w:t>a windage co-author</w:t>
            </w:r>
          </w:p>
        </w:tc>
        <w:tc>
          <w:tcPr>
            <w:tcW w:type="dxa" w:w="2160"/>
          </w:tcPr>
          <w:p>
            <w:r>
              <w:rPr>
                <w:sz w:val="19"/>
              </w:rPr>
            </w:r>
            <w:r>
              <w:rPr>
                <w:sz w:val="19"/>
              </w:rPr>
              <w:t>to be settled</w:t>
            </w:r>
          </w:p>
        </w:tc>
        <w:tc>
          <w:tcPr>
            <w:tcW w:type="dxa" w:w="2160"/>
          </w:tcPr>
          <w:p>
            <w:r>
              <w:rPr>
                <w:sz w:val="19"/>
              </w:rPr>
            </w:r>
            <w:r>
              <w:rPr>
                <w:sz w:val="19"/>
              </w:rPr>
              <w:t>9, §9.8</w:t>
            </w:r>
          </w:p>
        </w:tc>
        <w:tc>
          <w:tcPr>
            <w:tcW w:type="dxa" w:w="2160"/>
          </w:tcPr>
          <w:p>
            <w:r>
              <w:rPr>
                <w:sz w:val="19"/>
              </w:rPr>
            </w:r>
            <w:r>
              <w:rPr>
                <w:sz w:val="19"/>
              </w:rPr>
              <w:t>P. Rasilo; J. Saari is the natural name</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14, §14.2</w:t>
            </w:r>
          </w:p>
        </w:tc>
        <w:tc>
          <w:tcPr>
            <w:tcW w:type="dxa" w:w="2160"/>
          </w:tcPr>
          <w:p>
            <w:r>
              <w:rPr>
                <w:sz w:val="19"/>
              </w:rPr>
            </w:r>
            <w:r>
              <w:rPr>
                <w:sz w:val="19"/>
              </w:rPr>
              <w:t>J. Pippuri-Mäkeläinen</w:t>
            </w:r>
          </w:p>
        </w:tc>
      </w:tr>
      <w:tr>
        <w:tc>
          <w:tcPr>
            <w:tcW w:type="dxa" w:w="2160"/>
          </w:tcPr>
          <w:p>
            <w:r>
              <w:rPr>
                <w:sz w:val="19"/>
              </w:rPr>
            </w:r>
            <w:r>
              <w:rPr>
                <w:sz w:val="19"/>
              </w:rPr>
              <w:t>an e-turbocharger contributor</w:t>
            </w:r>
          </w:p>
        </w:tc>
        <w:tc>
          <w:tcPr>
            <w:tcW w:type="dxa" w:w="2160"/>
          </w:tcPr>
          <w:p>
            <w:r>
              <w:rPr>
                <w:sz w:val="19"/>
              </w:rPr>
            </w:r>
            <w:r>
              <w:rPr>
                <w:sz w:val="19"/>
              </w:rPr>
              <w:t>to be identified</w:t>
            </w:r>
          </w:p>
        </w:tc>
        <w:tc>
          <w:tcPr>
            <w:tcW w:type="dxa" w:w="2160"/>
          </w:tcPr>
          <w:p>
            <w:r>
              <w:rPr>
                <w:sz w:val="19"/>
              </w:rPr>
            </w:r>
            <w:r>
              <w:rPr>
                <w:sz w:val="19"/>
              </w:rPr>
              <w:t>14, §14.3</w:t>
            </w:r>
          </w:p>
        </w:tc>
        <w:tc>
          <w:tcPr>
            <w:tcW w:type="dxa" w:w="2160"/>
          </w:tcPr>
          <w:p>
            <w:r>
              <w:rPr>
                <w:sz w:val="19"/>
              </w:rPr>
            </w:r>
            <w:r>
              <w:rPr>
                <w:sz w:val="19"/>
              </w:rPr>
              <w:t>J. Pippuri-Mäkeläinen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which carries four,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