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4" w:space="6" w:color="999999"/>
        </w:pBdr>
        <w:spacing w:after="280"/>
      </w:pPr>
      <w:r>
        <w:rPr>
          <w:b/>
          <w:i w:val="0"/>
          <w:color w:val="444444"/>
          <w:sz w:val="18"/>
        </w:rPr>
        <w:t xml:space="preserve">Confidential — unpublished draft.  </w:t>
      </w:r>
      <w:r>
        <w:rPr>
          <w:b w:val="0"/>
          <w:i/>
          <w:color w:val="444444"/>
          <w:sz w:val="18"/>
        </w:rPr>
        <w:t xml:space="preserve">This draft chapter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w:t>
      </w:r>
      <w:r>
        <w:rPr>
          <w:b w:val="0"/>
          <w:i/>
          <w:color w:val="444444"/>
          <w:sz w:val="18"/>
        </w:rPr>
        <w:t>© 2026 H. T. Canseven, I. Petrov and J. Pyrhönen. All rights reserved.</w:t>
      </w:r>
    </w:p>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The speed of a high-speed machine is not merely a mechanical rpm value;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pStyle w:val="Heading3"/>
        <w:jc w:val="both"/>
        <w:rPr>
          <w:rFonts w:ascii="Times New Roman" w:hAnsi="Times New Roman" w:cs="Times New Roman"/>
          <w:lang w:val="en-GB"/>
        </w:rPr>
      </w:pPr>
      <w:r w:rsidRPr="000E711F">
        <w:rPr>
          <w:rFonts w:ascii="Times New Roman" w:hAnsi="Times New Roman" w:cs="Times New Roman"/>
          <w:lang w:val="en-GB"/>
        </w:rPr>
        <w:t>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pStyle w:val="Heading3"/>
        <w:jc w:val="both"/>
        <w:rPr>
          <w:rFonts w:ascii="Times New Roman" w:hAnsi="Times New Roman" w:cs="Times New Roman"/>
          <w:sz w:val="22"/>
          <w:szCs w:val="22"/>
          <w:lang w:val="en-GB"/>
        </w:rPr>
      </w:pPr>
      <w:r w:rsidRPr="000E711F">
        <w:rPr>
          <w:rFonts w:ascii="Times New Roman" w:hAnsi="Times New Roman" w:cs="Times New Roman"/>
          <w:lang w:val="en-GB"/>
        </w:rPr>
        <w:t xml:space="preserve">Different definitions of </w:t>
      </w:r>
      <w:r w:rsidR="002F2E18" w:rsidRPr="000E711F">
        <w:rPr>
          <w:rFonts w:ascii="Times New Roman" w:hAnsi="Times New Roman" w:cs="Times New Roman"/>
          <w:lang w:val="en-GB"/>
        </w:rPr>
        <w:t>high</w:t>
      </w:r>
      <w:r w:rsidRPr="000E711F">
        <w:rPr>
          <w:rFonts w:ascii="Times New Roman" w:hAnsi="Times New Roman" w:cs="Times New Roman"/>
          <w:lang w:val="en-GB"/>
        </w:rPr>
        <w:t xml:space="preserve"> speed</w:t>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Armengaud</w:t>
      </w:r>
      <w:r w:rsidR="0024361B">
        <w:rPr>
          <w:rFonts w:ascii="Times New Roman" w:hAnsi="Times New Roman" w:cs="Times New Roman"/>
          <w:lang w:val="en-GB"/>
        </w:rPr>
        <w:t xml:space="preserve"> et al, 2025</w:t>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Table 1.1. Voltcar inner six-pole rotor radial-flux traction motor</w:t>
      </w:r>
    </w:p>
    <w:tbl>
      <w:tblPr>
        <w:tblStyle w:val="TableGrid"/>
        <w:tblW w:w="0" w:type="auto"/>
        <w:tblInd w:w="709" w:type="dxa"/>
        <w:tblLook w:val="04A0" w:firstRow="1" w:lastRow="0" w:firstColumn="1" w:lastColumn="0" w:noHBand="0" w:noVBand="1"/>
      </w:tblPr>
      <w:tblGrid>
        <w:gridCol w:w="2089"/>
        <w:gridCol w:w="2726"/>
        <w:gridCol w:w="3402"/>
      </w:tblGrid>
      <w:tr w:rsidR="001E6A7D" w:rsidRPr="00945133" w14:paraId="2F4ED793" w14:textId="77777777" w:rsidTr="001E6A7D">
        <w:tc>
          <w:tcPr>
            <w:tcW w:w="2089" w:type="dxa"/>
          </w:tcPr>
          <w:p w14:paraId="7DF4E5A6" w14:textId="685E78EA" w:rsidR="001E6A7D" w:rsidRPr="000E711F" w:rsidRDefault="001E6A7D" w:rsidP="00945133">
            <w:pPr>
              <w:jc w:val="both"/>
              <w:rPr>
                <w:rFonts w:ascii="Times New Roman" w:hAnsi="Times New Roman" w:cs="Times New Roman"/>
                <w:lang w:val="en-GB"/>
              </w:rPr>
            </w:pPr>
            <w:r w:rsidRPr="000E711F">
              <w:rPr>
                <w:rFonts w:ascii="Times New Roman" w:hAnsi="Times New Roman" w:cs="Times New Roman"/>
                <w:lang w:val="en-GB"/>
              </w:rPr>
              <w:t xml:space="preserve">Power, </w:t>
            </w:r>
            <w:r w:rsidRPr="000E711F">
              <w:rPr>
                <w:rFonts w:ascii="Times New Roman" w:hAnsi="Times New Roman" w:cs="Times New Roman"/>
                <w:i/>
                <w:iCs/>
                <w:lang w:val="en-GB"/>
              </w:rPr>
              <w:t xml:space="preserve">P </w:t>
            </w:r>
            <w:r w:rsidRPr="000E711F">
              <w:rPr>
                <w:rFonts w:ascii="Times New Roman" w:hAnsi="Times New Roman" w:cs="Times New Roman"/>
                <w:lang w:val="en-GB"/>
              </w:rPr>
              <w:t xml:space="preserve"> = 120 kW</w:t>
            </w:r>
            <w:r w:rsidR="00117EDF" w:rsidRPr="000E711F">
              <w:rPr>
                <w:rFonts w:ascii="Times New Roman" w:hAnsi="Times New Roman" w:cs="Times New Roman"/>
                <w:lang w:val="en-GB"/>
              </w:rPr>
              <w:t>, continuous</w:t>
            </w:r>
          </w:p>
        </w:tc>
        <w:tc>
          <w:tcPr>
            <w:tcW w:w="2726" w:type="dxa"/>
          </w:tcPr>
          <w:p w14:paraId="371B1567" w14:textId="14A59263" w:rsidR="001E6A7D" w:rsidRPr="000E711F" w:rsidRDefault="001E6A7D" w:rsidP="00945133">
            <w:pPr>
              <w:jc w:val="both"/>
              <w:rPr>
                <w:rFonts w:ascii="Times New Roman" w:hAnsi="Times New Roman" w:cs="Times New Roman"/>
                <w:lang w:val="en-GB"/>
              </w:rPr>
            </w:pPr>
            <w:r w:rsidRPr="000E711F">
              <w:rPr>
                <w:rFonts w:ascii="Times New Roman" w:hAnsi="Times New Roman" w:cs="Times New Roman"/>
                <w:lang w:val="en-GB"/>
              </w:rPr>
              <w:t xml:space="preserve">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96 mm</w:t>
            </w:r>
          </w:p>
        </w:tc>
        <w:tc>
          <w:tcPr>
            <w:tcW w:w="3402" w:type="dxa"/>
          </w:tcPr>
          <w:p w14:paraId="1D0F9877" w14:textId="77777777" w:rsidR="001E6A7D" w:rsidRPr="000E711F" w:rsidRDefault="001E6A7D" w:rsidP="00945133">
            <w:pPr>
              <w:jc w:val="both"/>
              <w:rPr>
                <w:rFonts w:ascii="Times New Roman" w:hAnsi="Times New Roman" w:cs="Times New Roman"/>
                <w:lang w:val="en-GB"/>
              </w:rPr>
            </w:pPr>
            <w:r w:rsidRPr="000E711F">
              <w:rPr>
                <w:rFonts w:ascii="Times New Roman" w:hAnsi="Times New Roman" w:cs="Times New Roman"/>
                <w:lang w:val="en-GB"/>
              </w:rPr>
              <w:t xml:space="preserve">max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 30000 r/min</w:t>
            </w:r>
          </w:p>
          <w:p w14:paraId="2510F340" w14:textId="071575E1" w:rsidR="00117EDF" w:rsidRPr="000E711F" w:rsidRDefault="00117EDF" w:rsidP="00945133">
            <w:pPr>
              <w:jc w:val="both"/>
              <w:rPr>
                <w:rFonts w:ascii="Times New Roman" w:hAnsi="Times New Roman" w:cs="Times New Roman"/>
                <w:lang w:val="en-GB"/>
              </w:rPr>
            </w:pPr>
            <w:r w:rsidRPr="000E711F">
              <w:rPr>
                <w:rFonts w:ascii="Times New Roman" w:hAnsi="Times New Roman" w:cs="Times New Roman"/>
                <w:lang w:val="en-GB"/>
              </w:rPr>
              <w:t xml:space="preserve">safety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 36000 r/min</w:t>
            </w:r>
          </w:p>
        </w:tc>
      </w:tr>
      <w:tr w:rsidR="001E6A7D" w:rsidRPr="00945133" w14:paraId="6D3D3B7B" w14:textId="77777777">
        <w:tc>
          <w:tcPr>
            <w:tcW w:w="8217" w:type="dxa"/>
            <w:gridSpan w:val="3"/>
          </w:tcPr>
          <w:p w14:paraId="04D8A8F5" w14:textId="4A43D1A9" w:rsidR="001E6A7D" w:rsidRPr="000E711F" w:rsidRDefault="001E6A7D" w:rsidP="00945133">
            <w:pPr>
              <w:jc w:val="both"/>
              <w:rPr>
                <w:rFonts w:ascii="Times New Roman" w:hAnsi="Times New Roman" w:cs="Times New Roman"/>
                <w:lang w:val="en-GB"/>
              </w:rPr>
            </w:pPr>
            <w:r w:rsidRPr="000E711F">
              <w:rPr>
                <w:rFonts w:ascii="Times New Roman" w:hAnsi="Times New Roman" w:cs="Times New Roman"/>
                <w:lang w:val="en-GB"/>
              </w:rPr>
              <w:t xml:space="preserve">peripheral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 30000/60 </w:t>
            </w:r>
            <w:r w:rsidRPr="000E711F">
              <w:rPr>
                <w:rFonts w:ascii="Times New Roman" w:hAnsi="Times New Roman" w:cs="Times New Roman"/>
                <w:lang w:val="en-GB"/>
              </w:rPr>
              <w:sym w:font="Symbol" w:char="F0B4"/>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0"/>
            </w:r>
            <w:r w:rsidR="001A1F83" w:rsidRPr="000E711F">
              <w:rPr>
                <w:rFonts w:ascii="Times New Roman" w:hAnsi="Times New Roman" w:cs="Times New Roman"/>
                <w:lang w:val="en-GB"/>
              </w:rPr>
              <w:t xml:space="preserve"> </w:t>
            </w:r>
            <w:r w:rsidR="001A1F83" w:rsidRPr="000E711F">
              <w:rPr>
                <w:rFonts w:ascii="Times New Roman" w:hAnsi="Times New Roman" w:cs="Times New Roman"/>
                <w:lang w:val="en-GB"/>
              </w:rPr>
              <w:sym w:font="Symbol" w:char="F0B4"/>
            </w:r>
            <w:r w:rsidR="001A1F83" w:rsidRPr="000E711F">
              <w:rPr>
                <w:rFonts w:ascii="Times New Roman" w:hAnsi="Times New Roman" w:cs="Times New Roman"/>
                <w:lang w:val="en-GB"/>
              </w:rPr>
              <w:t xml:space="preserve"> </w:t>
            </w:r>
            <w:r w:rsidRPr="000E711F">
              <w:rPr>
                <w:rFonts w:ascii="Times New Roman" w:hAnsi="Times New Roman" w:cs="Times New Roman"/>
                <w:lang w:val="en-GB"/>
              </w:rPr>
              <w:t xml:space="preserve">0.096 m/s = 151 m/s </w:t>
            </w:r>
          </w:p>
        </w:tc>
      </w:tr>
      <w:tr w:rsidR="001E6A7D" w:rsidRPr="000E711F" w14:paraId="5C017805" w14:textId="77777777">
        <w:tc>
          <w:tcPr>
            <w:tcW w:w="8217" w:type="dxa"/>
            <w:gridSpan w:val="3"/>
          </w:tcPr>
          <w:p w14:paraId="0C98018E" w14:textId="4F29991C" w:rsidR="001E6A7D" w:rsidRPr="00945133" w:rsidRDefault="001E6A7D" w:rsidP="00945133">
            <w:pPr>
              <w:jc w:val="both"/>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eastAsiaTheme="minorEastAsia" w:hAnsi="Times New Roman" w:cs="Times New Roman"/>
                <w:sz w:val="24"/>
                <w:szCs w:val="24"/>
              </w:rPr>
              <w:t xml:space="preserve">= 30000 r/min </w:t>
            </w:r>
            <w:r w:rsidRPr="000E711F">
              <w:rPr>
                <w:rFonts w:ascii="Times New Roman" w:hAnsi="Times New Roman" w:cs="Times New Roman"/>
                <w:lang w:val="en-GB"/>
              </w:rPr>
              <w:sym w:font="Symbol" w:char="F0B4"/>
            </w:r>
            <w:r w:rsidRPr="00945133">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eastAsiaTheme="minorEastAsia" w:hAnsi="Times New Roman" w:cs="Times New Roman"/>
                <w:iCs/>
                <w:sz w:val="24"/>
                <w:szCs w:val="24"/>
              </w:rPr>
              <w:t xml:space="preserve"> = 329</w:t>
            </w:r>
            <w:r w:rsidR="00175683" w:rsidRPr="00945133">
              <w:rPr>
                <w:rFonts w:ascii="Times New Roman" w:eastAsiaTheme="minorEastAsia" w:hAnsi="Times New Roman" w:cs="Times New Roman"/>
                <w:iCs/>
                <w:sz w:val="24"/>
                <w:szCs w:val="24"/>
              </w:rPr>
              <w:t> </w:t>
            </w:r>
            <w:r w:rsidRPr="00945133">
              <w:rPr>
                <w:rFonts w:ascii="Times New Roman" w:eastAsiaTheme="minorEastAsia" w:hAnsi="Times New Roman" w:cs="Times New Roman"/>
                <w:iCs/>
                <w:sz w:val="24"/>
                <w:szCs w:val="24"/>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eastAsiaTheme="minorEastAsia" w:hAnsi="Times New Roman" w:cs="Times New Roman"/>
                <w:iCs/>
                <w:sz w:val="24"/>
                <w:szCs w:val="24"/>
              </w:rPr>
              <w:t xml:space="preserve"> </w:t>
            </w:r>
            <w:r w:rsidRPr="00945133">
              <w:rPr>
                <w:rFonts w:ascii="Times New Roman" w:hAnsi="Times New Roman" w:cs="Times New Roman"/>
              </w:rPr>
              <w:t xml:space="preserve"> </w:t>
            </w:r>
          </w:p>
        </w:tc>
      </w:tr>
      <w:tr w:rsidR="001E6A7D" w:rsidRPr="000E711F" w14:paraId="52DF179D" w14:textId="77777777">
        <w:tc>
          <w:tcPr>
            <w:tcW w:w="8217" w:type="dxa"/>
            <w:gridSpan w:val="3"/>
          </w:tcPr>
          <w:p w14:paraId="1F131D69" w14:textId="6FB6B5DA" w:rsidR="001E6A7D" w:rsidRPr="000E711F" w:rsidRDefault="001E6A7D" w:rsidP="00945133">
            <w:pPr>
              <w:jc w:val="both"/>
              <w:rPr>
                <w:rFonts w:ascii="Times New Roman" w:hAnsi="Times New Roman" w:cs="Times New Roman"/>
                <w:lang w:val="en-GB"/>
              </w:rPr>
            </w:pPr>
            <w:r w:rsidRPr="000E711F">
              <w:rPr>
                <w:rFonts w:ascii="Times New Roman" w:hAnsi="Times New Roman" w:cs="Times New Roman"/>
                <w:i/>
                <w:iCs/>
                <w:lang w:val="en-GB"/>
              </w:rPr>
              <w:t>fP</w:t>
            </w:r>
            <w:r w:rsidRPr="000E711F">
              <w:rPr>
                <w:rFonts w:ascii="Times New Roman" w:hAnsi="Times New Roman" w:cs="Times New Roman"/>
                <w:lang w:val="en-GB"/>
              </w:rPr>
              <w:t xml:space="preserve"> = 1500 1/s </w:t>
            </w:r>
            <w:r w:rsidRPr="000E711F">
              <w:rPr>
                <w:rFonts w:ascii="Times New Roman" w:hAnsi="Times New Roman" w:cs="Times New Roman"/>
                <w:lang w:val="en-GB"/>
              </w:rPr>
              <w:sym w:font="Symbol" w:char="F0B4"/>
            </w:r>
            <w:r w:rsidRPr="000E711F">
              <w:rPr>
                <w:rFonts w:ascii="Times New Roman" w:hAnsi="Times New Roman" w:cs="Times New Roman"/>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jc w:val="both"/>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4311988"/>
            <wp:effectExtent l="0" t="0" r="0" b="0"/>
            <wp:docPr id="900000001" name="Picture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4311988"/>
                    </a:xfrm>
                    <a:prstGeom prst="rect">
                      <a:avLst/>
                    </a:prstGeom>
                  </pic:spPr>
                </pic:pic>
              </a:graphicData>
            </a:graphic>
          </wp:inline>
        </w:drawing>
      </w:r>
    </w:p>
    <w:p w14:paraId="094EB20A" w14:textId="77777777" w:rsidR="00022090" w:rsidRPr="000E711F" w:rsidRDefault="00022090" w:rsidP="00945133">
      <w:pPr>
        <w:jc w:val="both"/>
        <w:rPr>
          <w:rFonts w:ascii="Times New Roman" w:hAnsi="Times New Roman" w:cs="Times New Roman"/>
          <w:lang w:val="en-GB"/>
        </w:rPr>
      </w:pPr>
      <w:r w:rsidRPr="000E711F">
        <w:rPr>
          <w:rFonts w:ascii="Times New Roman" w:hAnsi="Times New Roman" w:cs="Times New Roman"/>
          <w:lang w:val="en-GB"/>
        </w:rPr>
        <w:t xml:space="preserve">Figure 1.1.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t>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jc w:val="both"/>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486400" cy="4748568"/>
            <wp:effectExtent l="0" t="0" r="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rcRect l="8058" t="12676" r="12804" b="18830"/>
                    <a:stretch>
                      <a:fillRect/>
                    </a:stretch>
                  </pic:blipFill>
                  <pic:spPr bwMode="auto">
                    <a:xfrm>
                      <a:off x="0" y="0"/>
                      <a:ext cx="5503181" cy="4763092"/>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jc w:val="both"/>
        <w:rPr>
          <w:rFonts w:ascii="Times New Roman" w:hAnsi="Times New Roman" w:cs="Times New Roman"/>
          <w:lang w:val="en-GB"/>
        </w:rPr>
      </w:pPr>
      <w:r w:rsidRPr="000E711F">
        <w:rPr>
          <w:rFonts w:ascii="Times New Roman" w:hAnsi="Times New Roman" w:cs="Times New Roman"/>
          <w:lang w:val="en-GB"/>
        </w:rPr>
        <w:t xml:space="preserve">Figure 1.2. Traditional geared and integrated direct-drive architectures. Left: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Right: the impeller is mounted directly on the high-speed motor shaft, optionally carried on active magnetic bearings, and the gearbox, couplings and oil system disappear.</w:t>
      </w:r>
    </w:p>
    <w:p w14:paraId="73D02B18" w14:textId="630C7E20" w:rsidR="009F1B51" w:rsidRPr="000E711F" w:rsidRDefault="009F1B51" w:rsidP="00945133">
      <w:pPr>
        <w:jc w:val="both"/>
        <w:rPr>
          <w:rFonts w:ascii="Times New Roman" w:hAnsi="Times New Roman" w:cs="Times New Roman"/>
          <w:b/>
          <w:bCs/>
          <w:lang w:val="en-GB"/>
        </w:rPr>
      </w:pPr>
      <w:commentRangeStart w:id="6"/>
      <w:r w:rsidRPr="000E711F">
        <w:rPr>
          <w:rFonts w:ascii="Times New Roman" w:hAnsi="Times New Roman" w:cs="Times New Roman"/>
          <w:b/>
          <w:bCs/>
          <w:lang w:val="en-GB"/>
        </w:rPr>
        <w:t>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Drivers of Direct-Drive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jc w:val="both"/>
        <w:rPr>
          <w:rFonts w:ascii="Times New Roman" w:hAnsi="Times New Roman" w:cs="Times New Roman"/>
          <w:b/>
          <w:bCs/>
          <w:lang w:val="en-GB"/>
        </w:rPr>
      </w:pPr>
      <w:r w:rsidRPr="000E711F">
        <w:rPr>
          <w:rFonts w:ascii="Times New Roman" w:hAnsi="Times New Roman" w:cs="Times New Roman"/>
          <w:b/>
          <w:bCs/>
          <w:lang w:val="en-GB"/>
        </w:rPr>
        <w:t>Two</w:t>
      </w:r>
      <w:r w:rsidR="00E53655" w:rsidRPr="000E711F">
        <w:rPr>
          <w:rFonts w:ascii="Times New Roman" w:hAnsi="Times New Roman" w:cs="Times New Roman"/>
          <w:b/>
          <w:bCs/>
          <w:lang w:val="en-GB"/>
        </w:rPr>
        <w:t>-Pole Induction Machines (IM)</w:t>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w:t>
      </w:r>
      <w:r w:rsidR="00083943" w:rsidRPr="000E711F">
        <w:rPr>
          <w:rFonts w:ascii="Times New Roman" w:hAnsi="Times New Roman" w:cs="Times New Roman"/>
          <w:b/>
          <w:bCs/>
          <w:lang w:val="en-GB"/>
        </w:rPr>
        <w:t>Rotor-</w:t>
      </w:r>
      <w:r w:rsidRPr="000E711F">
        <w:rPr>
          <w:rFonts w:ascii="Times New Roman" w:hAnsi="Times New Roman" w:cs="Times New Roman"/>
          <w:b/>
          <w:bCs/>
          <w:lang w:val="en-GB"/>
        </w:rPr>
        <w:t>Surface</w:t>
      </w:r>
      <w:r w:rsidR="00083943" w:rsidRPr="000E711F">
        <w:rPr>
          <w:rFonts w:ascii="Times New Roman" w:hAnsi="Times New Roman" w:cs="Times New Roman"/>
          <w:b/>
          <w:bCs/>
          <w:lang w:val="en-GB"/>
        </w:rPr>
        <w:t>-Magnet</w:t>
      </w:r>
      <w:r w:rsidRPr="000E711F">
        <w:rPr>
          <w:rFonts w:ascii="Times New Roman" w:hAnsi="Times New Roman" w:cs="Times New Roman"/>
          <w:b/>
          <w:bCs/>
          <w:lang w:val="en-GB"/>
        </w:rPr>
        <w:t xml:space="preserve"> </w:t>
      </w:r>
      <w:r w:rsidR="00083943" w:rsidRPr="000E711F">
        <w:rPr>
          <w:rFonts w:ascii="Times New Roman" w:hAnsi="Times New Roman" w:cs="Times New Roman"/>
          <w:b/>
          <w:bCs/>
          <w:lang w:val="en-GB"/>
        </w:rPr>
        <w:t>PMSMs</w:t>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(Canseven et. al.</w:t>
      </w:r>
      <w:r w:rsidRPr="000E711F">
        <w:rPr>
          <w:rFonts w:ascii="Times New Roman" w:hAnsi="Times New Roman" w:cs="Times New Roman"/>
          <w:lang w:val="en-GB"/>
        </w:rPr>
        <w:t>,</w:t>
      </w:r>
      <w:r w:rsidR="00F816CB">
        <w:rPr>
          <w:rFonts w:ascii="Times New Roman" w:hAnsi="Times New Roman" w:cs="Times New Roman"/>
          <w:lang w:val="en-GB"/>
        </w:rPr>
        <w:t xml:space="preserve"> 2024)</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4350476" cy="3154680"/>
            <wp:effectExtent l="0" t="0" r="0" b="7620"/>
            <wp:docPr id="900000002" name="Picture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4440504" cy="3219962"/>
                    </a:xfrm>
                    <a:prstGeom prst="rect">
                      <a:avLst/>
                    </a:prstGeom>
                  </pic:spPr>
                </pic:pic>
              </a:graphicData>
            </a:graphic>
          </wp:inline>
        </w:drawing>
      </w:r>
    </w:p>
    <w:p w14:paraId="08B4C42D" w14:textId="222EC821" w:rsidR="00C1471B" w:rsidRPr="000E711F" w:rsidRDefault="00C1471B" w:rsidP="00945133">
      <w:pPr>
        <w:jc w:val="both"/>
        <w:rPr>
          <w:rFonts w:ascii="Times New Roman" w:hAnsi="Times New Roman" w:cs="Times New Roman"/>
          <w:lang w:val="en-GB"/>
        </w:rPr>
      </w:pPr>
      <w:r w:rsidRPr="000E711F">
        <w:rPr>
          <w:rFonts w:ascii="Times New Roman" w:hAnsi="Times New Roman" w:cs="Times New Roman"/>
          <w:lang w:val="en-GB"/>
        </w:rPr>
        <w:t>Figure 1.3.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jc w:val="both"/>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sidRPr="000E711F">
        <w:rPr>
          <w:rFonts w:ascii="Times New Roman" w:hAnsi="Times New Roman" w:cs="Times New Roman"/>
          <w:lang w:val="en-GB"/>
        </w:rPr>
        <w:br/>
      </w:r>
      <w:r w:rsidR="00930771" w:rsidRPr="000E711F">
        <w:rPr>
          <w:rFonts w:ascii="Times New Roman" w:hAnsi="Times New Roman" w:cs="Times New Roman"/>
          <w:lang w:val="en-GB"/>
        </w:rPr>
        <w:t>Figure 1.4.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p>
    <w:p w14:paraId="47F30595" w14:textId="44A140B1" w:rsidR="000E45D5" w:rsidRPr="000E711F" w:rsidRDefault="000E45D5" w:rsidP="00945133">
      <w:pPr>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jc w:val="both"/>
        <w:rPr>
          <w:rFonts w:ascii="Times New Roman" w:hAnsi="Times New Roman" w:cs="Times New Roman"/>
          <w:b/>
          <w:bCs/>
          <w:lang w:val="en-GB"/>
        </w:rPr>
      </w:pPr>
      <w:r w:rsidRPr="000E711F">
        <w:rPr>
          <w:rFonts w:ascii="Times New Roman" w:hAnsi="Times New Roman" w:cs="Times New Roman"/>
          <w:b/>
          <w:bCs/>
          <w:lang w:val="en-GB"/>
        </w:rPr>
        <w:t>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jc w:val="both"/>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874965" cy="3002280"/>
            <wp:effectExtent l="0" t="0" r="0" b="762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rcRect l="5318" t="11465" r="4277"/>
                    <a:stretch>
                      <a:fillRect/>
                    </a:stretch>
                  </pic:blipFill>
                  <pic:spPr bwMode="auto">
                    <a:xfrm>
                      <a:off x="0" y="0"/>
                      <a:ext cx="5887650" cy="3008763"/>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jc w:val="both"/>
        <w:rPr>
          <w:rFonts w:ascii="Times New Roman" w:hAnsi="Times New Roman" w:cs="Times New Roman"/>
          <w:lang w:val="en-GB"/>
        </w:rPr>
      </w:pPr>
      <w:r w:rsidRPr="000E711F">
        <w:rPr>
          <w:rFonts w:ascii="Times New Roman" w:hAnsi="Times New Roman" w:cs="Times New Roman"/>
          <w:lang w:val="en-GB"/>
        </w:rPr>
        <w:t>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Lipo, T.A.,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295900" cy="3887077"/>
            <wp:effectExtent l="0" t="0" r="0" b="0"/>
            <wp:docPr id="900000003" name="Picture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rcRect t="4498"/>
                    <a:stretch>
                      <a:fillRect/>
                    </a:stretch>
                  </pic:blipFill>
                  <pic:spPr bwMode="auto">
                    <a:xfrm>
                      <a:off x="0" y="0"/>
                      <a:ext cx="5335446" cy="3916103"/>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Figure 1.6.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jc w:val="both"/>
        <w:rPr>
          <w:rFonts w:ascii="Times New Roman" w:hAnsi="Times New Roman" w:cs="Times New Roman"/>
          <w:b/>
          <w:bCs/>
          <w:lang w:val="en-GB"/>
        </w:rPr>
      </w:pPr>
      <w:r w:rsidRPr="000E711F">
        <w:rPr>
          <w:rFonts w:ascii="Times New Roman" w:hAnsi="Times New Roman" w:cs="Times New Roman"/>
          <w:b/>
          <w:bCs/>
          <w:lang w:val="en-GB"/>
        </w:rPr>
        <w:t>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0F1BC8" w:rsidRPr="000E711F">
        <w:rPr>
          <w:rFonts w:ascii="Times New Roman" w:hAnsi="Times New Roman" w:cs="Times New Roman"/>
          <w:lang w:val="en-GB"/>
        </w:rPr>
        <w:t>Comparison of Topology Characteristics</w:t>
      </w:r>
    </w:p>
    <w:tbl>
      <w:tblPr>
        <w:tblStyle w:val="TableGrid"/>
        <w:tblW w:w="0" w:type="auto"/>
        <w:tblLook w:val="04A0" w:firstRow="1" w:lastRow="0" w:firstColumn="1" w:lastColumn="0" w:noHBand="0" w:noVBand="1"/>
      </w:tblPr>
      <w:tblGrid>
        <w:gridCol w:w="2405"/>
        <w:gridCol w:w="3119"/>
        <w:gridCol w:w="3492"/>
      </w:tblGrid>
      <w:tr w:rsidR="000F1BC8" w:rsidRPr="000E711F" w14:paraId="075DAFF8" w14:textId="77777777" w:rsidTr="00AD0622">
        <w:tc>
          <w:tcPr>
            <w:tcW w:w="2405" w:type="dxa"/>
          </w:tcPr>
          <w:p w14:paraId="618C8143"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Feature</w:t>
            </w:r>
          </w:p>
        </w:tc>
        <w:tc>
          <w:tcPr>
            <w:tcW w:w="3119" w:type="dxa"/>
          </w:tcPr>
          <w:p w14:paraId="6647C96B"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Industrial (Robust)</w:t>
            </w:r>
          </w:p>
        </w:tc>
        <w:tc>
          <w:tcPr>
            <w:tcW w:w="3492" w:type="dxa"/>
          </w:tcPr>
          <w:p w14:paraId="6B070528"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Traction/Mobile (Lightweight)</w:t>
            </w:r>
          </w:p>
        </w:tc>
      </w:tr>
      <w:tr w:rsidR="000F1BC8" w:rsidRPr="000E711F" w14:paraId="60E726EE" w14:textId="77777777" w:rsidTr="00AD0622">
        <w:tc>
          <w:tcPr>
            <w:tcW w:w="2405" w:type="dxa"/>
            <w:vAlign w:val="center"/>
          </w:tcPr>
          <w:p w14:paraId="303467E1"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Common Pole Count</w:t>
            </w:r>
          </w:p>
        </w:tc>
        <w:tc>
          <w:tcPr>
            <w:tcW w:w="3119" w:type="dxa"/>
            <w:vAlign w:val="center"/>
          </w:tcPr>
          <w:p w14:paraId="6581F1B6"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2 (IM) or 2/4 (SPM)</w:t>
            </w:r>
          </w:p>
        </w:tc>
        <w:tc>
          <w:tcPr>
            <w:tcW w:w="3492" w:type="dxa"/>
            <w:vAlign w:val="center"/>
          </w:tcPr>
          <w:p w14:paraId="4522BE31"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6, 8, or 12 (IPM)</w:t>
            </w:r>
          </w:p>
        </w:tc>
      </w:tr>
      <w:tr w:rsidR="000F1BC8" w:rsidRPr="00945133" w14:paraId="24E01C4E" w14:textId="77777777" w:rsidTr="00AD0622">
        <w:tc>
          <w:tcPr>
            <w:tcW w:w="2405" w:type="dxa"/>
            <w:vAlign w:val="center"/>
          </w:tcPr>
          <w:p w14:paraId="1ECD5D18"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Rotor Retention</w:t>
            </w:r>
          </w:p>
        </w:tc>
        <w:tc>
          <w:tcPr>
            <w:tcW w:w="3119" w:type="dxa"/>
            <w:vAlign w:val="center"/>
          </w:tcPr>
          <w:p w14:paraId="47791305"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Thick Carbon Fiber / Inconel</w:t>
            </w:r>
          </w:p>
        </w:tc>
        <w:tc>
          <w:tcPr>
            <w:tcW w:w="3492" w:type="dxa"/>
            <w:vAlign w:val="center"/>
          </w:tcPr>
          <w:p w14:paraId="0ADB9497"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Strategic Steel Bridges / Thin Sleeves</w:t>
            </w:r>
          </w:p>
        </w:tc>
      </w:tr>
      <w:tr w:rsidR="000F1BC8" w:rsidRPr="000E711F" w14:paraId="717EF5A5" w14:textId="77777777" w:rsidTr="00AD0622">
        <w:tc>
          <w:tcPr>
            <w:tcW w:w="2405" w:type="dxa"/>
            <w:vAlign w:val="center"/>
          </w:tcPr>
          <w:p w14:paraId="44AA9FB2"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Stator Yoke</w:t>
            </w:r>
          </w:p>
        </w:tc>
        <w:tc>
          <w:tcPr>
            <w:tcW w:w="3119" w:type="dxa"/>
            <w:vAlign w:val="center"/>
          </w:tcPr>
          <w:p w14:paraId="60BD54D1"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Thick (for flux and stiffness)</w:t>
            </w:r>
          </w:p>
        </w:tc>
        <w:tc>
          <w:tcPr>
            <w:tcW w:w="3492" w:type="dxa"/>
            <w:vAlign w:val="center"/>
          </w:tcPr>
          <w:p w14:paraId="5A6BB801"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Minimized (to save mass)</w:t>
            </w:r>
          </w:p>
        </w:tc>
      </w:tr>
      <w:tr w:rsidR="000F1BC8" w:rsidRPr="000E711F" w14:paraId="6D90C70E" w14:textId="77777777" w:rsidTr="00AD0622">
        <w:tc>
          <w:tcPr>
            <w:tcW w:w="2405" w:type="dxa"/>
            <w:vAlign w:val="center"/>
          </w:tcPr>
          <w:p w14:paraId="2EA2C1BD"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PE Constraint</w:t>
            </w:r>
          </w:p>
        </w:tc>
        <w:tc>
          <w:tcPr>
            <w:tcW w:w="3119" w:type="dxa"/>
            <w:vAlign w:val="center"/>
          </w:tcPr>
          <w:p w14:paraId="34EF40CF"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Current Ripple / Thermal</w:t>
            </w:r>
          </w:p>
        </w:tc>
        <w:tc>
          <w:tcPr>
            <w:tcW w:w="3492" w:type="dxa"/>
            <w:vAlign w:val="center"/>
          </w:tcPr>
          <w:p w14:paraId="5996142C" w14:textId="356773F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Switching Frequency / d</w:t>
            </w:r>
            <w:r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p>
        </w:tc>
      </w:tr>
      <w:tr w:rsidR="000F1BC8" w:rsidRPr="000E711F" w14:paraId="2D0223D4" w14:textId="77777777" w:rsidTr="00AD0622">
        <w:tc>
          <w:tcPr>
            <w:tcW w:w="2405" w:type="dxa"/>
            <w:vAlign w:val="center"/>
          </w:tcPr>
          <w:p w14:paraId="66315394" w14:textId="77777777" w:rsidR="000F1BC8" w:rsidRPr="000E711F" w:rsidRDefault="000F1BC8" w:rsidP="00945133">
            <w:pPr>
              <w:jc w:val="both"/>
              <w:rPr>
                <w:rFonts w:ascii="Times New Roman" w:hAnsi="Times New Roman" w:cs="Times New Roman"/>
                <w:b/>
                <w:lang w:val="en-GB"/>
              </w:rPr>
            </w:pPr>
            <w:r w:rsidRPr="000E711F">
              <w:rPr>
                <w:rFonts w:ascii="Times New Roman" w:hAnsi="Times New Roman" w:cs="Times New Roman"/>
                <w:b/>
                <w:lang w:val="en-GB"/>
              </w:rPr>
              <w:t>Converter</w:t>
            </w:r>
          </w:p>
        </w:tc>
        <w:tc>
          <w:tcPr>
            <w:tcW w:w="3119" w:type="dxa"/>
            <w:vAlign w:val="center"/>
          </w:tcPr>
          <w:p w14:paraId="0D603966"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IGBT</w:t>
            </w:r>
          </w:p>
        </w:tc>
        <w:tc>
          <w:tcPr>
            <w:tcW w:w="3492" w:type="dxa"/>
            <w:vAlign w:val="center"/>
          </w:tcPr>
          <w:p w14:paraId="3F86AF5C" w14:textId="77777777" w:rsidR="000F1BC8" w:rsidRPr="000E711F" w:rsidRDefault="000F1BC8" w:rsidP="00945133">
            <w:pPr>
              <w:jc w:val="both"/>
              <w:rPr>
                <w:rFonts w:ascii="Times New Roman" w:hAnsi="Times New Roman" w:cs="Times New Roman"/>
                <w:lang w:val="en-GB"/>
              </w:rPr>
            </w:pPr>
            <w:r w:rsidRPr="000E711F">
              <w:rPr>
                <w:rFonts w:ascii="Times New Roman" w:hAnsi="Times New Roman" w:cs="Times New Roman"/>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fficiency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E1724" w:rsidRPr="000E711F">
        <w:rPr>
          <w:rFonts w:ascii="Times New Roman" w:hAnsi="Times New Roman" w:cs="Times New Roman"/>
          <w:lang w:val="en-GB"/>
        </w:rPr>
        <w:t>s</w:t>
      </w:r>
      <w:r w:rsidRPr="000E711F">
        <w:rPr>
          <w:rFonts w:ascii="Times New Roman" w:hAnsi="Times New Roman" w:cs="Times New Roman"/>
          <w:lang w:val="en-GB"/>
        </w:rPr>
        <w:t>quare-</w:t>
      </w:r>
      <w:r w:rsidR="001E1724" w:rsidRPr="000E711F">
        <w:rPr>
          <w:rFonts w:ascii="Times New Roman" w:hAnsi="Times New Roman" w:cs="Times New Roman"/>
          <w:lang w:val="en-GB"/>
        </w:rPr>
        <w:t>c</w:t>
      </w:r>
      <w:r w:rsidRPr="000E711F">
        <w:rPr>
          <w:rFonts w:ascii="Times New Roman" w:hAnsi="Times New Roman" w:cs="Times New Roman"/>
          <w:lang w:val="en-GB"/>
        </w:rPr>
        <w:t xml:space="preserve">ube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jc w:val="both"/>
        <w:rPr>
          <w:rFonts w:ascii="Times New Roman" w:hAnsi="Times New Roman" w:cs="Times New Roman"/>
          <w:lang w:val="en-GB"/>
        </w:rPr>
      </w:pPr>
      <w:r w:rsidRPr="000E711F">
        <w:rPr>
          <w:rFonts w:ascii="Times New Roman" w:hAnsi="Times New Roman" w:cs="Times New Roman"/>
          <w:lang w:val="en-GB"/>
        </w:rPr>
        <w:t xml:space="preserve">Table 1.3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TableGrid"/>
        <w:tblW w:w="0" w:type="auto"/>
        <w:tblLook w:val="04A0" w:firstRow="1" w:lastRow="0" w:firstColumn="1" w:lastColumn="0" w:noHBand="0" w:noVBand="1"/>
      </w:tblPr>
      <w:tblGrid>
        <w:gridCol w:w="3005"/>
        <w:gridCol w:w="2519"/>
        <w:gridCol w:w="3492"/>
      </w:tblGrid>
      <w:tr w:rsidR="001E1724" w:rsidRPr="000E711F" w14:paraId="3F2CC1B6" w14:textId="77777777" w:rsidTr="00AD0622">
        <w:tc>
          <w:tcPr>
            <w:tcW w:w="3005" w:type="dxa"/>
          </w:tcPr>
          <w:p w14:paraId="6FFE1B4A" w14:textId="7922B7AA" w:rsidR="001E1724" w:rsidRPr="000E711F" w:rsidRDefault="001E1724" w:rsidP="00945133">
            <w:pPr>
              <w:jc w:val="both"/>
              <w:rPr>
                <w:rFonts w:ascii="Times New Roman" w:hAnsi="Times New Roman" w:cs="Times New Roman"/>
                <w:b/>
                <w:lang w:val="en-GB"/>
              </w:rPr>
            </w:pPr>
            <w:r w:rsidRPr="000E711F">
              <w:rPr>
                <w:rFonts w:ascii="Times New Roman" w:hAnsi="Times New Roman" w:cs="Times New Roman"/>
                <w:b/>
                <w:lang w:val="en-GB"/>
              </w:rPr>
              <w:t>Parameter</w:t>
            </w:r>
          </w:p>
        </w:tc>
        <w:tc>
          <w:tcPr>
            <w:tcW w:w="2519" w:type="dxa"/>
          </w:tcPr>
          <w:p w14:paraId="0269EBC9" w14:textId="17F49134" w:rsidR="001E1724" w:rsidRPr="000E711F" w:rsidRDefault="001E1724" w:rsidP="00945133">
            <w:pPr>
              <w:jc w:val="both"/>
              <w:rPr>
                <w:rFonts w:ascii="Times New Roman" w:hAnsi="Times New Roman" w:cs="Times New Roman"/>
                <w:b/>
                <w:lang w:val="en-GB"/>
              </w:rPr>
            </w:pPr>
            <w:r w:rsidRPr="000E711F">
              <w:rPr>
                <w:rFonts w:ascii="Times New Roman" w:hAnsi="Times New Roman" w:cs="Times New Roman"/>
                <w:b/>
                <w:lang w:val="en-GB"/>
              </w:rPr>
              <w:t>Scaling Formula</w:t>
            </w:r>
          </w:p>
        </w:tc>
        <w:tc>
          <w:tcPr>
            <w:tcW w:w="3492" w:type="dxa"/>
          </w:tcPr>
          <w:p w14:paraId="348721E9" w14:textId="512903E3" w:rsidR="001E1724" w:rsidRPr="000E711F" w:rsidRDefault="001E1724" w:rsidP="00945133">
            <w:pPr>
              <w:jc w:val="both"/>
              <w:rPr>
                <w:rFonts w:ascii="Times New Roman" w:hAnsi="Times New Roman" w:cs="Times New Roman"/>
                <w:b/>
                <w:lang w:val="en-GB"/>
              </w:rPr>
            </w:pPr>
            <w:r w:rsidRPr="000E711F">
              <w:rPr>
                <w:rFonts w:ascii="Times New Roman" w:hAnsi="Times New Roman" w:cs="Times New Roman"/>
                <w:b/>
                <w:lang w:val="en-GB"/>
              </w:rPr>
              <w:t>Impact of Doubling Speed (</w:t>
            </w:r>
            <w:r w:rsidRPr="000E711F">
              <w:rPr>
                <w:rFonts w:ascii="Times New Roman" w:hAnsi="Times New Roman" w:cs="Times New Roman"/>
                <w:b/>
                <w:lang w:val="en-GB"/>
              </w:rPr>
              <w:sym w:font="Symbol" w:char="F057"/>
            </w:r>
            <w:r w:rsidRPr="000E711F">
              <w:rPr>
                <w:rFonts w:ascii="Times New Roman" w:hAnsi="Times New Roman" w:cs="Times New Roman"/>
                <w:b/>
                <w:lang w:val="en-GB"/>
              </w:rPr>
              <w:t>)</w:t>
            </w:r>
          </w:p>
        </w:tc>
      </w:tr>
      <w:tr w:rsidR="001E1BE5" w:rsidRPr="00945133" w14:paraId="4B9DDD4A" w14:textId="77777777" w:rsidTr="00AD0622">
        <w:tc>
          <w:tcPr>
            <w:tcW w:w="3005" w:type="dxa"/>
            <w:vAlign w:val="center"/>
          </w:tcPr>
          <w:p w14:paraId="33103A56" w14:textId="6573A77D" w:rsidR="001E1BE5" w:rsidRPr="000E711F" w:rsidRDefault="001E1BE5" w:rsidP="00945133">
            <w:pPr>
              <w:jc w:val="both"/>
              <w:rPr>
                <w:rFonts w:ascii="Times New Roman" w:hAnsi="Times New Roman" w:cs="Times New Roman"/>
                <w:b/>
                <w:lang w:val="en-GB"/>
              </w:rPr>
            </w:pPr>
            <w:r w:rsidRPr="000E711F">
              <w:rPr>
                <w:rFonts w:ascii="Times New Roman" w:hAnsi="Times New Roman" w:cs="Times New Roman"/>
                <w:b/>
                <w:lang w:val="en-GB"/>
              </w:rPr>
              <w:t xml:space="preserve">Power </w:t>
            </w:r>
            <w:r w:rsidRPr="000E711F">
              <w:rPr>
                <w:rFonts w:ascii="Times New Roman" w:hAnsi="Times New Roman" w:cs="Times New Roman"/>
                <w:b/>
                <w:i/>
                <w:lang w:val="en-GB"/>
              </w:rPr>
              <w:t>P</w:t>
            </w:r>
          </w:p>
        </w:tc>
        <w:tc>
          <w:tcPr>
            <w:tcW w:w="2519" w:type="dxa"/>
            <w:vAlign w:val="center"/>
          </w:tcPr>
          <w:p w14:paraId="109AB935" w14:textId="23BC9272"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i/>
                <w:iCs/>
                <w:lang w:val="en-GB"/>
              </w:rPr>
              <w:sym w:font="Symbol" w:char="F057"/>
            </w:r>
          </w:p>
        </w:tc>
        <w:tc>
          <w:tcPr>
            <w:tcW w:w="3492" w:type="dxa"/>
            <w:vAlign w:val="center"/>
          </w:tcPr>
          <w:p w14:paraId="1ABFD011" w14:textId="1C57CD63"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lang w:val="en-GB"/>
              </w:rPr>
              <w:t xml:space="preserve">Constant (if </w:t>
            </w:r>
            <w:r w:rsidRPr="000E711F">
              <w:rPr>
                <w:rFonts w:ascii="Times New Roman" w:hAnsi="Times New Roman" w:cs="Times New Roman"/>
                <w:i/>
                <w:iCs/>
                <w:lang w:val="en-GB"/>
              </w:rPr>
              <w:t>D</w:t>
            </w:r>
            <w:r w:rsidRPr="000E711F">
              <w:rPr>
                <w:rFonts w:ascii="Times New Roman" w:hAnsi="Times New Roman" w:cs="Times New Roman"/>
                <w:lang w:val="en-GB"/>
              </w:rPr>
              <w:t xml:space="preserve"> is reduced)</w:t>
            </w:r>
          </w:p>
        </w:tc>
      </w:tr>
      <w:tr w:rsidR="001E1BE5" w:rsidRPr="00945133" w14:paraId="01703B34" w14:textId="77777777" w:rsidTr="00AD0622">
        <w:tc>
          <w:tcPr>
            <w:tcW w:w="3005" w:type="dxa"/>
            <w:vAlign w:val="center"/>
          </w:tcPr>
          <w:p w14:paraId="023F33CE" w14:textId="49F0B2F1" w:rsidR="001E1BE5" w:rsidRPr="000E711F" w:rsidRDefault="001E1BE5" w:rsidP="00945133">
            <w:pPr>
              <w:jc w:val="both"/>
              <w:rPr>
                <w:rFonts w:ascii="Times New Roman" w:hAnsi="Times New Roman" w:cs="Times New Roman"/>
                <w:b/>
                <w:lang w:val="en-GB"/>
              </w:rPr>
            </w:pPr>
            <w:r w:rsidRPr="000E711F">
              <w:rPr>
                <w:rFonts w:ascii="Times New Roman" w:hAnsi="Times New Roman" w:cs="Times New Roman"/>
                <w:b/>
                <w:lang w:val="en-GB"/>
              </w:rPr>
              <w:t>Centrifugal Stress (</w:t>
            </w:r>
            <w:r w:rsidRPr="000E711F">
              <w:rPr>
                <w:rFonts w:ascii="Times New Roman" w:hAnsi="Times New Roman" w:cs="Times New Roman"/>
                <w:b/>
                <w:i/>
                <w:lang w:val="en-GB"/>
              </w:rPr>
              <w:sym w:font="Symbol" w:char="F073"/>
            </w:r>
            <w:r w:rsidRPr="000E711F">
              <w:rPr>
                <w:rFonts w:ascii="Times New Roman" w:hAnsi="Times New Roman" w:cs="Times New Roman"/>
                <w:b/>
                <w:vertAlign w:val="subscript"/>
                <w:lang w:val="en-GB"/>
              </w:rPr>
              <w:t>mec</w:t>
            </w:r>
            <w:r w:rsidRPr="000E711F">
              <w:rPr>
                <w:rFonts w:ascii="Times New Roman" w:hAnsi="Times New Roman" w:cs="Times New Roman"/>
                <w:b/>
                <w:lang w:val="en-GB"/>
              </w:rPr>
              <w:t>)</w:t>
            </w:r>
          </w:p>
        </w:tc>
        <w:tc>
          <w:tcPr>
            <w:tcW w:w="2519" w:type="dxa"/>
            <w:vAlign w:val="center"/>
          </w:tcPr>
          <w:p w14:paraId="4DB32A18" w14:textId="5270AE0A"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p>
        </w:tc>
        <w:tc>
          <w:tcPr>
            <w:tcW w:w="3492" w:type="dxa"/>
            <w:vAlign w:val="center"/>
          </w:tcPr>
          <w:p w14:paraId="6D62C6C4" w14:textId="27D7506F"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lang w:val="en-GB"/>
              </w:rPr>
              <w:t xml:space="preserve">Constant (if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is fixed)</w:t>
            </w:r>
          </w:p>
        </w:tc>
      </w:tr>
      <w:tr w:rsidR="001E1BE5" w:rsidRPr="000E711F" w14:paraId="5433B64D" w14:textId="77777777" w:rsidTr="00AD0622">
        <w:tc>
          <w:tcPr>
            <w:tcW w:w="3005" w:type="dxa"/>
            <w:vAlign w:val="center"/>
          </w:tcPr>
          <w:p w14:paraId="499BDFE1" w14:textId="5F74CB4E" w:rsidR="001E1BE5" w:rsidRPr="000E711F" w:rsidRDefault="001E1BE5" w:rsidP="00945133">
            <w:pPr>
              <w:jc w:val="both"/>
              <w:rPr>
                <w:rFonts w:ascii="Times New Roman" w:hAnsi="Times New Roman" w:cs="Times New Roman"/>
                <w:b/>
                <w:lang w:val="en-GB"/>
              </w:rPr>
            </w:pPr>
            <w:r w:rsidRPr="000E711F">
              <w:rPr>
                <w:rFonts w:ascii="Times New Roman" w:hAnsi="Times New Roman" w:cs="Times New Roman"/>
                <w:b/>
                <w:lang w:val="en-GB"/>
              </w:rPr>
              <w:t>Iron Loss (</w:t>
            </w:r>
            <w:r w:rsidRPr="000E711F">
              <w:rPr>
                <w:rFonts w:ascii="Times New Roman" w:hAnsi="Times New Roman" w:cs="Times New Roman"/>
                <w:b/>
                <w:i/>
                <w:lang w:val="en-GB"/>
              </w:rPr>
              <w:t>P</w:t>
            </w:r>
            <w:r w:rsidRPr="000E711F">
              <w:rPr>
                <w:rFonts w:ascii="Times New Roman" w:hAnsi="Times New Roman" w:cs="Times New Roman"/>
                <w:b/>
                <w:vertAlign w:val="subscript"/>
                <w:lang w:val="en-GB"/>
              </w:rPr>
              <w:t>Fe</w:t>
            </w:r>
            <w:r w:rsidRPr="000E711F">
              <w:rPr>
                <w:rFonts w:ascii="Times New Roman" w:hAnsi="Times New Roman" w:cs="Times New Roman"/>
                <w:b/>
                <w:lang w:val="en-GB"/>
              </w:rPr>
              <w:t>)</w:t>
            </w:r>
          </w:p>
        </w:tc>
        <w:tc>
          <w:tcPr>
            <w:tcW w:w="2519" w:type="dxa"/>
            <w:vAlign w:val="center"/>
          </w:tcPr>
          <w:p w14:paraId="7BE89819" w14:textId="4FAB98E6"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 xml:space="preserve"> 2</w:t>
            </w:r>
          </w:p>
        </w:tc>
        <w:tc>
          <w:tcPr>
            <w:tcW w:w="3492" w:type="dxa"/>
            <w:vAlign w:val="center"/>
          </w:tcPr>
          <w:p w14:paraId="251FE8D3" w14:textId="1449D1DC"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lang w:val="en-GB"/>
              </w:rPr>
              <w:t>Increases by 4x</w:t>
            </w:r>
          </w:p>
        </w:tc>
      </w:tr>
      <w:tr w:rsidR="001E1BE5" w:rsidRPr="000E711F" w14:paraId="4A54BD62" w14:textId="77777777" w:rsidTr="00AD0622">
        <w:tc>
          <w:tcPr>
            <w:tcW w:w="3005" w:type="dxa"/>
            <w:vAlign w:val="center"/>
          </w:tcPr>
          <w:p w14:paraId="5EE58508" w14:textId="1B38333D" w:rsidR="001E1BE5" w:rsidRPr="000E711F" w:rsidRDefault="001E1BE5" w:rsidP="00945133">
            <w:pPr>
              <w:jc w:val="both"/>
              <w:rPr>
                <w:rFonts w:ascii="Times New Roman" w:hAnsi="Times New Roman" w:cs="Times New Roman"/>
                <w:b/>
                <w:lang w:val="en-GB"/>
              </w:rPr>
            </w:pPr>
            <w:r w:rsidRPr="000E711F">
              <w:rPr>
                <w:rFonts w:ascii="Times New Roman" w:hAnsi="Times New Roman" w:cs="Times New Roman"/>
                <w:b/>
                <w:lang w:val="en-GB"/>
              </w:rPr>
              <w:t>Windage Loss (</w:t>
            </w:r>
            <w:r w:rsidRPr="000E711F">
              <w:rPr>
                <w:rFonts w:ascii="Times New Roman" w:hAnsi="Times New Roman" w:cs="Times New Roman"/>
                <w:b/>
                <w:i/>
                <w:lang w:val="en-GB"/>
              </w:rPr>
              <w:t>P</w:t>
            </w:r>
            <w:r w:rsidRPr="000E711F">
              <w:rPr>
                <w:rFonts w:ascii="Times New Roman" w:hAnsi="Times New Roman" w:cs="Times New Roman"/>
                <w:b/>
                <w:vertAlign w:val="subscript"/>
                <w:lang w:val="en-GB"/>
              </w:rPr>
              <w:t>wnd</w:t>
            </w:r>
            <w:r w:rsidRPr="000E711F">
              <w:rPr>
                <w:rFonts w:ascii="Times New Roman" w:hAnsi="Times New Roman" w:cs="Times New Roman"/>
                <w:b/>
                <w:lang w:val="en-GB"/>
              </w:rPr>
              <w:t>)</w:t>
            </w:r>
          </w:p>
        </w:tc>
        <w:tc>
          <w:tcPr>
            <w:tcW w:w="2519" w:type="dxa"/>
            <w:vAlign w:val="center"/>
          </w:tcPr>
          <w:p w14:paraId="262D74AD" w14:textId="529FEB69"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3</w:t>
            </w:r>
            <w:r w:rsidRPr="000E711F">
              <w:rPr>
                <w:rFonts w:ascii="Times New Roman" w:hAnsi="Times New Roman" w:cs="Times New Roman"/>
                <w:lang w:val="en-GB"/>
              </w:rPr>
              <w:t xml:space="preserve"> </w:t>
            </w:r>
          </w:p>
        </w:tc>
        <w:tc>
          <w:tcPr>
            <w:tcW w:w="3492" w:type="dxa"/>
            <w:vAlign w:val="center"/>
          </w:tcPr>
          <w:p w14:paraId="38E1D27C" w14:textId="6F049A31"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lang w:val="en-GB"/>
              </w:rPr>
              <w:t>Increases by 8x</w:t>
            </w:r>
          </w:p>
        </w:tc>
      </w:tr>
      <w:tr w:rsidR="001E1BE5" w:rsidRPr="000E711F" w14:paraId="49750F29" w14:textId="77777777" w:rsidTr="00AD0622">
        <w:tc>
          <w:tcPr>
            <w:tcW w:w="3005" w:type="dxa"/>
            <w:vAlign w:val="center"/>
          </w:tcPr>
          <w:p w14:paraId="2FF22661" w14:textId="0CAE6FF5" w:rsidR="001E1BE5" w:rsidRPr="000E711F" w:rsidRDefault="001E1BE5" w:rsidP="00945133">
            <w:pPr>
              <w:jc w:val="both"/>
              <w:rPr>
                <w:rFonts w:ascii="Times New Roman" w:hAnsi="Times New Roman" w:cs="Times New Roman"/>
                <w:b/>
                <w:lang w:val="en-GB"/>
              </w:rPr>
            </w:pPr>
            <w:r w:rsidRPr="000E711F">
              <w:rPr>
                <w:rFonts w:ascii="Times New Roman" w:hAnsi="Times New Roman" w:cs="Times New Roman"/>
                <w:b/>
                <w:lang w:val="en-GB"/>
              </w:rPr>
              <w:t>Cooling Difficulty</w:t>
            </w:r>
          </w:p>
        </w:tc>
        <w:tc>
          <w:tcPr>
            <w:tcW w:w="2519" w:type="dxa"/>
            <w:vAlign w:val="center"/>
          </w:tcPr>
          <w:p w14:paraId="77B71F8A" w14:textId="193EDB6E"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lang w:val="en-GB"/>
              </w:rPr>
              <w:t xml:space="preserve">Loss /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p>
        </w:tc>
        <w:tc>
          <w:tcPr>
            <w:tcW w:w="3492" w:type="dxa"/>
            <w:vAlign w:val="center"/>
          </w:tcPr>
          <w:p w14:paraId="4741FC33" w14:textId="1E9C4FA0" w:rsidR="001E1BE5" w:rsidRPr="000E711F" w:rsidRDefault="001E1BE5" w:rsidP="00945133">
            <w:pPr>
              <w:jc w:val="both"/>
              <w:rPr>
                <w:rFonts w:ascii="Times New Roman" w:hAnsi="Times New Roman" w:cs="Times New Roman"/>
                <w:lang w:val="en-GB"/>
              </w:rPr>
            </w:pPr>
            <w:r w:rsidRPr="000E711F">
              <w:rPr>
                <w:rFonts w:ascii="Times New Roman" w:hAnsi="Times New Roman" w:cs="Times New Roman"/>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1.4 The same doubling of speed evaluated along the tip-speed-limited design path, at constant rated power</w:t>
      </w:r>
    </w:p>
    <w:tbl>
      <w:tblPr>
        <w:tblStyle w:val="TableGrid"/>
        <w:tblW w:w="0" w:type="auto"/>
        <w:tblLook w:val="04A0" w:firstRow="1" w:lastRow="0" w:firstColumn="1" w:lastColumn="0" w:noHBand="0" w:noVBand="1"/>
      </w:tblPr>
      <w:tblGrid>
        <w:gridCol w:w="3005"/>
        <w:gridCol w:w="2519"/>
        <w:gridCol w:w="3492"/>
      </w:tblGrid>
      <w:tr w:rsidR="00962554" w:rsidRPr="000E711F" w14:paraId="61B02A0D" w14:textId="77777777">
        <w:tc>
          <w:tcPr>
            <w:tcW w:w="3005" w:type="dxa"/>
          </w:tcPr>
          <w:p w14:paraId="6D41D6EF"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Quantity</w:t>
            </w:r>
          </w:p>
        </w:tc>
        <w:tc>
          <w:tcPr>
            <w:tcW w:w="2519" w:type="dxa"/>
          </w:tcPr>
          <w:p w14:paraId="11DF9087"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Scaling on the tip-speed-limited path</w:t>
            </w:r>
          </w:p>
        </w:tc>
        <w:tc>
          <w:tcPr>
            <w:tcW w:w="3492" w:type="dxa"/>
          </w:tcPr>
          <w:p w14:paraId="48B84EB4"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Factor on doubling Ω</w:t>
            </w:r>
          </w:p>
        </w:tc>
      </w:tr>
      <w:tr w:rsidR="00962554" w:rsidRPr="000E711F" w14:paraId="5785F5EC" w14:textId="77777777">
        <w:tc>
          <w:tcPr>
            <w:tcW w:w="3005" w:type="dxa"/>
          </w:tcPr>
          <w:p w14:paraId="3E4A2CAF"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Rotor diameter </w:t>
            </w:r>
            <w:r w:rsidRPr="000E711F">
              <w:rPr>
                <w:rFonts w:ascii="Times New Roman" w:hAnsi="Times New Roman" w:cs="Times New Roman"/>
                <w:b/>
                <w:bCs/>
                <w:i/>
                <w:iCs/>
                <w:lang w:val="en-GB"/>
              </w:rPr>
              <w:t>D</w:t>
            </w:r>
            <w:r w:rsidRPr="000E711F">
              <w:rPr>
                <w:rFonts w:ascii="Times New Roman" w:hAnsi="Times New Roman" w:cs="Times New Roman"/>
                <w:b/>
                <w:bCs/>
                <w:vertAlign w:val="subscript"/>
                <w:lang w:val="en-GB"/>
              </w:rPr>
              <w:t>r</w:t>
            </w:r>
          </w:p>
        </w:tc>
        <w:tc>
          <w:tcPr>
            <w:tcW w:w="2519" w:type="dxa"/>
          </w:tcPr>
          <w:p w14:paraId="3EA107F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Ω</w:t>
            </w:r>
            <w:r w:rsidRPr="000E711F">
              <w:rPr>
                <w:rFonts w:ascii="Times New Roman" w:hAnsi="Times New Roman" w:cs="Times New Roman"/>
                <w:vertAlign w:val="superscript"/>
                <w:lang w:val="en-GB"/>
              </w:rPr>
              <w:t>−1</w:t>
            </w:r>
          </w:p>
        </w:tc>
        <w:tc>
          <w:tcPr>
            <w:tcW w:w="3492" w:type="dxa"/>
          </w:tcPr>
          <w:p w14:paraId="42BC93F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0.50</w:t>
            </w:r>
          </w:p>
        </w:tc>
      </w:tr>
      <w:tr w:rsidR="00962554" w:rsidRPr="000E711F" w14:paraId="071F5A4F" w14:textId="77777777">
        <w:tc>
          <w:tcPr>
            <w:tcW w:w="3005" w:type="dxa"/>
          </w:tcPr>
          <w:p w14:paraId="49385499"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Active length </w:t>
            </w:r>
            <w:r w:rsidRPr="000E711F">
              <w:rPr>
                <w:rFonts w:ascii="Times New Roman" w:hAnsi="Times New Roman" w:cs="Times New Roman"/>
                <w:b/>
                <w:bCs/>
                <w:i/>
                <w:iCs/>
                <w:lang w:val="en-GB"/>
              </w:rPr>
              <w:t>l</w:t>
            </w:r>
          </w:p>
        </w:tc>
        <w:tc>
          <w:tcPr>
            <w:tcW w:w="2519" w:type="dxa"/>
          </w:tcPr>
          <w:p w14:paraId="111240B6"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Ω</w:t>
            </w:r>
          </w:p>
        </w:tc>
        <w:tc>
          <w:tcPr>
            <w:tcW w:w="3492" w:type="dxa"/>
          </w:tcPr>
          <w:p w14:paraId="0449326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2.00</w:t>
            </w:r>
          </w:p>
        </w:tc>
      </w:tr>
      <w:tr w:rsidR="00962554" w:rsidRPr="000E711F" w14:paraId="3268CFC8" w14:textId="77777777">
        <w:tc>
          <w:tcPr>
            <w:tcW w:w="3005" w:type="dxa"/>
          </w:tcPr>
          <w:p w14:paraId="58D847B6"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i/>
                <w:iCs/>
                <w:lang w:val="en-GB"/>
              </w:rPr>
              <w:t>l</w:t>
            </w:r>
            <w:r w:rsidRPr="000E711F">
              <w:rPr>
                <w:rFonts w:ascii="Times New Roman" w:hAnsi="Times New Roman" w:cs="Times New Roman"/>
                <w:b/>
                <w:bCs/>
                <w:lang w:val="en-GB"/>
              </w:rPr>
              <w:t>/</w:t>
            </w:r>
            <w:r w:rsidRPr="000E711F">
              <w:rPr>
                <w:rFonts w:ascii="Times New Roman" w:hAnsi="Times New Roman" w:cs="Times New Roman"/>
                <w:b/>
                <w:bCs/>
                <w:i/>
                <w:iCs/>
                <w:lang w:val="en-GB"/>
              </w:rPr>
              <w:t>D</w:t>
            </w:r>
            <w:r w:rsidRPr="000E711F">
              <w:rPr>
                <w:rFonts w:ascii="Times New Roman" w:hAnsi="Times New Roman" w:cs="Times New Roman"/>
                <w:b/>
                <w:bCs/>
                <w:vertAlign w:val="subscript"/>
                <w:lang w:val="en-GB"/>
              </w:rPr>
              <w:t>r</w:t>
            </w:r>
            <w:r w:rsidRPr="000E711F">
              <w:rPr>
                <w:rFonts w:ascii="Times New Roman" w:hAnsi="Times New Roman" w:cs="Times New Roman"/>
                <w:b/>
                <w:bCs/>
                <w:lang w:val="en-GB"/>
              </w:rPr>
              <w:t xml:space="preserve"> ratio</w:t>
            </w:r>
          </w:p>
        </w:tc>
        <w:tc>
          <w:tcPr>
            <w:tcW w:w="2519" w:type="dxa"/>
          </w:tcPr>
          <w:p w14:paraId="7C44081A"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Ω</w:t>
            </w:r>
            <w:r w:rsidRPr="000E711F">
              <w:rPr>
                <w:rFonts w:ascii="Times New Roman" w:hAnsi="Times New Roman" w:cs="Times New Roman"/>
                <w:vertAlign w:val="superscript"/>
                <w:lang w:val="en-GB"/>
              </w:rPr>
              <w:t>2</w:t>
            </w:r>
          </w:p>
        </w:tc>
        <w:tc>
          <w:tcPr>
            <w:tcW w:w="3492" w:type="dxa"/>
          </w:tcPr>
          <w:p w14:paraId="58F7B85E"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4.00</w:t>
            </w:r>
          </w:p>
        </w:tc>
      </w:tr>
      <w:tr w:rsidR="00962554" w:rsidRPr="000E711F" w14:paraId="57D0BD7E" w14:textId="77777777">
        <w:tc>
          <w:tcPr>
            <w:tcW w:w="3005" w:type="dxa"/>
          </w:tcPr>
          <w:p w14:paraId="79F7F921"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Active volume</w:t>
            </w:r>
          </w:p>
        </w:tc>
        <w:tc>
          <w:tcPr>
            <w:tcW w:w="2519" w:type="dxa"/>
          </w:tcPr>
          <w:p w14:paraId="391D6026"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Ω</w:t>
            </w:r>
            <w:r w:rsidRPr="000E711F">
              <w:rPr>
                <w:rFonts w:ascii="Times New Roman" w:hAnsi="Times New Roman" w:cs="Times New Roman"/>
                <w:vertAlign w:val="superscript"/>
                <w:lang w:val="en-GB"/>
              </w:rPr>
              <w:t>−1</w:t>
            </w:r>
          </w:p>
        </w:tc>
        <w:tc>
          <w:tcPr>
            <w:tcW w:w="3492" w:type="dxa"/>
          </w:tcPr>
          <w:p w14:paraId="36FE60B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0.50</w:t>
            </w:r>
          </w:p>
        </w:tc>
      </w:tr>
      <w:tr w:rsidR="00962554" w:rsidRPr="000E711F" w14:paraId="62CC6028" w14:textId="77777777">
        <w:tc>
          <w:tcPr>
            <w:tcW w:w="3005" w:type="dxa"/>
          </w:tcPr>
          <w:p w14:paraId="7E027E62"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w:t>
            </w:r>
            <w:r w:rsidRPr="000E711F">
              <w:rPr>
                <w:rFonts w:ascii="Times New Roman" w:hAnsi="Times New Roman" w:cs="Times New Roman"/>
                <w:b/>
                <w:bCs/>
                <w:i/>
                <w:iCs/>
                <w:lang w:val="en-GB"/>
              </w:rPr>
              <w:t>σ</w:t>
            </w:r>
            <w:r w:rsidRPr="000E711F">
              <w:rPr>
                <w:rFonts w:ascii="Times New Roman" w:hAnsi="Times New Roman" w:cs="Times New Roman"/>
                <w:b/>
                <w:bCs/>
                <w:vertAlign w:val="subscript"/>
                <w:lang w:val="en-GB"/>
              </w:rPr>
              <w:t>mec</w:t>
            </w:r>
          </w:p>
        </w:tc>
        <w:tc>
          <w:tcPr>
            <w:tcW w:w="2519" w:type="dxa"/>
          </w:tcPr>
          <w:p w14:paraId="40B78038"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constant</w:t>
            </w:r>
          </w:p>
        </w:tc>
        <w:tc>
          <w:tcPr>
            <w:tcW w:w="3492" w:type="dxa"/>
          </w:tcPr>
          <w:p w14:paraId="5ABEBFAE"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1.00</w:t>
            </w:r>
          </w:p>
        </w:tc>
      </w:tr>
      <w:tr w:rsidR="00962554" w:rsidRPr="000E711F" w14:paraId="4E8BC4A5" w14:textId="77777777">
        <w:tc>
          <w:tcPr>
            <w:tcW w:w="3005" w:type="dxa"/>
          </w:tcPr>
          <w:p w14:paraId="5591D897"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Iron loss </w:t>
            </w:r>
            <w:r w:rsidRPr="000E711F">
              <w:rPr>
                <w:rFonts w:ascii="Times New Roman" w:hAnsi="Times New Roman" w:cs="Times New Roman"/>
                <w:b/>
                <w:bCs/>
                <w:i/>
                <w:iCs/>
                <w:lang w:val="en-GB"/>
              </w:rPr>
              <w:t>P</w:t>
            </w:r>
            <w:r w:rsidRPr="000E711F">
              <w:rPr>
                <w:rFonts w:ascii="Times New Roman" w:hAnsi="Times New Roman" w:cs="Times New Roman"/>
                <w:b/>
                <w:bCs/>
                <w:vertAlign w:val="subscript"/>
                <w:lang w:val="en-GB"/>
              </w:rPr>
              <w:t>Fe</w:t>
            </w:r>
          </w:p>
        </w:tc>
        <w:tc>
          <w:tcPr>
            <w:tcW w:w="2519" w:type="dxa"/>
          </w:tcPr>
          <w:p w14:paraId="572EEE93"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Ω</w:t>
            </w:r>
          </w:p>
        </w:tc>
        <w:tc>
          <w:tcPr>
            <w:tcW w:w="3492" w:type="dxa"/>
          </w:tcPr>
          <w:p w14:paraId="3E834F73"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2.00</w:t>
            </w:r>
          </w:p>
        </w:tc>
      </w:tr>
      <w:tr w:rsidR="00962554" w:rsidRPr="000E711F" w14:paraId="519E1322" w14:textId="77777777">
        <w:tc>
          <w:tcPr>
            <w:tcW w:w="3005" w:type="dxa"/>
          </w:tcPr>
          <w:p w14:paraId="6303CDEC"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Windage loss </w:t>
            </w:r>
            <w:r w:rsidRPr="000E711F">
              <w:rPr>
                <w:rFonts w:ascii="Times New Roman" w:hAnsi="Times New Roman" w:cs="Times New Roman"/>
                <w:b/>
                <w:bCs/>
                <w:i/>
                <w:iCs/>
                <w:lang w:val="en-GB"/>
              </w:rPr>
              <w:t>P</w:t>
            </w:r>
            <w:r w:rsidRPr="000E711F">
              <w:rPr>
                <w:rFonts w:ascii="Times New Roman" w:hAnsi="Times New Roman" w:cs="Times New Roman"/>
                <w:b/>
                <w:bCs/>
                <w:vertAlign w:val="subscript"/>
                <w:lang w:val="en-GB"/>
              </w:rPr>
              <w:t>wnd</w:t>
            </w:r>
          </w:p>
        </w:tc>
        <w:tc>
          <w:tcPr>
            <w:tcW w:w="2519" w:type="dxa"/>
          </w:tcPr>
          <w:p w14:paraId="23FFCABA"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constant</w:t>
            </w:r>
          </w:p>
        </w:tc>
        <w:tc>
          <w:tcPr>
            <w:tcW w:w="3492" w:type="dxa"/>
          </w:tcPr>
          <w:p w14:paraId="2710FBF1"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1.00</w:t>
            </w:r>
          </w:p>
        </w:tc>
      </w:tr>
      <w:tr w:rsidR="00962554" w:rsidRPr="000E711F" w14:paraId="1AEBAC82" w14:textId="77777777">
        <w:tc>
          <w:tcPr>
            <w:tcW w:w="3005" w:type="dxa"/>
          </w:tcPr>
          <w:p w14:paraId="3850DD3D"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Rotor surface area</w:t>
            </w:r>
          </w:p>
        </w:tc>
        <w:tc>
          <w:tcPr>
            <w:tcW w:w="2519" w:type="dxa"/>
          </w:tcPr>
          <w:p w14:paraId="1144377E"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constant</w:t>
            </w:r>
          </w:p>
        </w:tc>
        <w:tc>
          <w:tcPr>
            <w:tcW w:w="3492" w:type="dxa"/>
          </w:tcPr>
          <w:p w14:paraId="01119772"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1.00</w:t>
            </w:r>
          </w:p>
        </w:tc>
      </w:tr>
      <w:tr w:rsidR="00962554" w:rsidRPr="000E711F" w14:paraId="519DA58E" w14:textId="77777777">
        <w:tc>
          <w:tcPr>
            <w:tcW w:w="3005" w:type="dxa"/>
          </w:tcPr>
          <w:p w14:paraId="5E45C4A1" w14:textId="77777777" w:rsidR="00962554" w:rsidRPr="000E711F" w:rsidRDefault="00962554"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First critical speed </w:t>
            </w:r>
            <w:r w:rsidRPr="000E711F">
              <w:rPr>
                <w:rFonts w:ascii="Times New Roman" w:hAnsi="Times New Roman" w:cs="Times New Roman"/>
                <w:b/>
                <w:bCs/>
                <w:i/>
                <w:iCs/>
                <w:lang w:val="en-GB"/>
              </w:rPr>
              <w:t>n</w:t>
            </w:r>
            <w:r w:rsidRPr="000E711F">
              <w:rPr>
                <w:rFonts w:ascii="Times New Roman" w:hAnsi="Times New Roman" w:cs="Times New Roman"/>
                <w:b/>
                <w:bCs/>
                <w:vertAlign w:val="subscript"/>
                <w:lang w:val="en-GB"/>
              </w:rPr>
              <w:t>cr</w:t>
            </w:r>
          </w:p>
        </w:tc>
        <w:tc>
          <w:tcPr>
            <w:tcW w:w="2519" w:type="dxa"/>
          </w:tcPr>
          <w:p w14:paraId="35952BD1"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Ω</w:t>
            </w:r>
            <w:r w:rsidRPr="000E711F">
              <w:rPr>
                <w:rFonts w:ascii="Times New Roman" w:hAnsi="Times New Roman" w:cs="Times New Roman"/>
                <w:vertAlign w:val="superscript"/>
                <w:lang w:val="en-GB"/>
              </w:rPr>
              <w:t>−3</w:t>
            </w:r>
          </w:p>
        </w:tc>
        <w:tc>
          <w:tcPr>
            <w:tcW w:w="3492" w:type="dxa"/>
          </w:tcPr>
          <w:p w14:paraId="36BED27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4955369" cy="3086100"/>
            <wp:effectExtent l="0" t="0" r="0" b="0"/>
            <wp:docPr id="900000004" name="Picture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rcRect t="4742"/>
                    <a:stretch>
                      <a:fillRect/>
                    </a:stretch>
                  </pic:blipFill>
                  <pic:spPr bwMode="auto">
                    <a:xfrm>
                      <a:off x="0" y="0"/>
                      <a:ext cx="5027472" cy="313100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jc w:val="both"/>
        <w:rPr>
          <w:rFonts w:ascii="Times New Roman" w:hAnsi="Times New Roman" w:cs="Times New Roman"/>
          <w:lang w:val="en-GB"/>
        </w:rPr>
      </w:pPr>
      <w:r w:rsidRPr="000E711F">
        <w:rPr>
          <w:rFonts w:ascii="Times New Roman" w:hAnsi="Times New Roman" w:cs="Times New Roman"/>
          <w:lang w:val="en-GB"/>
        </w:rPr>
        <w:t>Figure 1.7.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3706036" cy="2514600"/>
            <wp:effectExtent l="0" t="0" r="8890" b="0"/>
            <wp:docPr id="900000005" name="Picture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rcRect t="4780"/>
                    <a:stretch>
                      <a:fillRect/>
                    </a:stretch>
                  </pic:blipFill>
                  <pic:spPr bwMode="auto">
                    <a:xfrm>
                      <a:off x="0" y="0"/>
                      <a:ext cx="3744006" cy="2540363"/>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Figure 1.8.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jc w:val="both"/>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p>
    <w:p w14:paraId="3FA3F119" w14:textId="61507155" w:rsidR="001151D3" w:rsidRPr="000E711F" w:rsidRDefault="003F2E71" w:rsidP="00945133">
      <w:pPr>
        <w:jc w:val="both"/>
        <w:rPr>
          <w:rFonts w:ascii="Times New Roman" w:hAnsi="Times New Roman" w:cs="Times New Roman"/>
          <w:lang w:val="en-GB"/>
        </w:rPr>
      </w:pPr>
      <w:r w:rsidRPr="000E711F">
        <w:rPr>
          <w:rFonts w:ascii="Times New Roman" w:hAnsi="Times New Roman" w:cs="Times New Roman"/>
          <w:lang w:val="en-GB"/>
        </w:rPr>
        <w:t>Figure 1.9.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0"/>
  <w15:commentEx w15:paraId="0D608EBD" w15:done="1"/>
  <w15:commentEx w15:paraId="628EEEF9" w15:done="0"/>
  <w15:commentEx w15:paraId="41249BBD" w15:done="1"/>
  <w15:commentEx w15:paraId="1F498FF5" w15:done="1"/>
  <w15:commentEx w15:paraId="21AC3F49" w15:done="0"/>
  <w15:commentEx w15:paraId="35627C89" w15:done="1"/>
  <w15:commentEx w15:paraId="6AD9F795" w15:done="1"/>
  <w15:commentEx w15:paraId="7DB0A973" w15:done="0"/>
  <w15:commentEx w15:paraId="2CF5CD5D" w15:done="1"/>
  <w15:commentEx w15:paraId="0841F42F" w15:done="1"/>
  <w15:commentEx w15:paraId="0D89D26C" w15:done="0"/>
  <w15:commentEx w15:paraId="330C786C" w15:done="0"/>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