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pPr>
      <w:r>
        <w:rPr>
          <w:b/>
          <w:bCs/>
          <w:color w:val="1F3864"/>
          <w:sz w:val="52"/>
          <w:szCs w:val="52"/>
        </w:rPr>
        <w:t xml:space="preserve">Aging in oil lowers the permissible bus voltage</w:t>
      </w:r>
    </w:p>
    <w:p>
      <w:pPr>
        <w:pBdr>
          <w:bottom w:val="single" w:color="2E5597" w:sz="12" w:space="12"/>
        </w:pBdr>
        <w:spacing w:after="480"/>
      </w:pPr>
      <w:r>
        <w:rPr>
          <w:color w:val="595959"/>
          <w:sz w:val="28"/>
          <w:szCs w:val="28"/>
        </w:rPr>
        <w:t xml:space="preserve">Adding 800, 1200 and 1600 V DC bus classes to an oil-aging and corrosion study of hairpin winding insulation: voltage stresses, standards, insulation capability, oil–voltage interactions and test design</w:t>
      </w:r>
    </w:p>
    <w:p>
      <w:pPr>
        <w:spacing w:after="80"/>
      </w:pPr>
      <w:r>
        <w:rPr>
          <w:b/>
          <w:bCs/>
          <w:sz w:val="22"/>
          <w:szCs w:val="22"/>
        </w:rPr>
        <w:t xml:space="preserve">Scope: </w:t>
      </w:r>
      <w:r>
        <w:rPr>
          <w:sz w:val="22"/>
          <w:szCs w:val="22"/>
        </w:rPr>
        <w:t xml:space="preserve">voltage stresses and standards, insulation capability, oil–voltage interactions, test methods, equipment and acceptance criteria</w:t>
      </w:r>
    </w:p>
    <w:p>
      <w:pPr>
        <w:spacing w:after="80"/>
      </w:pPr>
      <w:r>
        <w:rPr>
          <w:b/>
          <w:bCs/>
          <w:sz w:val="22"/>
          <w:szCs w:val="22"/>
        </w:rPr>
        <w:t xml:space="preserve">Sources: </w:t>
      </w:r>
      <w:r>
        <w:rPr>
          <w:sz w:val="22"/>
          <w:szCs w:val="22"/>
        </w:rPr>
        <w:t xml:space="preserve">88 unique public sources, accessed in October 2026</w:t>
      </w:r>
    </w:p>
    <w:p>
      <w:pPr>
        <w:spacing w:after="80"/>
      </w:pPr>
      <w:r>
        <w:rPr>
          <w:b/>
          <w:bCs/>
          <w:sz w:val="22"/>
          <w:szCs w:val="22"/>
        </w:rPr>
        <w:t xml:space="preserve">Date: </w:t>
      </w:r>
      <w:r>
        <w:rPr>
          <w:sz w:val="22"/>
          <w:szCs w:val="22"/>
        </w:rPr>
        <w:t xml:space="preserve">20 October 2026</w:t>
      </w:r>
    </w:p>
    <w:p>
      <w:r>
        <w:br w:type="page"/>
      </w:r>
    </w:p>
    <w:p>
      <w:pPr>
        <w:spacing w:after="240"/>
      </w:pPr>
      <w:r>
        <w:rPr>
          <w:b/>
          <w:bCs/>
          <w:color w:val="1F3864"/>
          <w:sz w:val="32"/>
          <w:szCs w:val="32"/>
        </w:rPr>
        <w:t xml:space="preserve">Contents</w:t>
      </w:r>
    </w:p>
    <w:sdt>
      <w:sdtPr>
        <w:alias w:val="Contents"/>
      </w:sdtPr>
      <w:sdtContent>
        <w:p>
          <w:pPr>
            <w:pStyle w:val="TOC1"/>
            <w:tabs>
              <w:tab w:val="right" w:leader="dot" w:pos="9628"/>
            </w:tabs>
          </w:pPr>
          <w:r>
            <w:fldChar w:fldCharType="begin" w:dirty="true"/>
            <w:instrText xml:space="preserve">TOC \h \o "1-2"</w:instrText>
            <w:fldChar w:fldCharType="separate"/>
          </w:r>
          <w:hyperlink w:anchor="_TocH018" w:history="1">
            <w:r>
              <w:t xml:space="preserve">Summary</w:t>
            </w:r>
            <w:r>
              <w:tab/>
            </w:r>
            <w:r>
              <w:t>3</w:t>
            </w:r>
          </w:hyperlink>
        </w:p>
        <w:p>
          <w:pPr>
            <w:pStyle w:val="TOC1"/>
            <w:tabs>
              <w:tab w:val="right" w:leader="dot" w:pos="9628"/>
            </w:tabs>
          </w:pPr>
          <w:hyperlink w:anchor="_TocH001" w:history="1">
            <w:r>
              <w:t xml:space="preserve">Stresses scale linearly with bus voltage, and 1600 V falls outside the standards</w:t>
            </w:r>
            <w:r>
              <w:tab/>
            </w:r>
            <w:r>
              <w:t>3</w:t>
            </w:r>
          </w:hyperlink>
        </w:p>
        <w:p>
          <w:pPr>
            <w:pStyle w:val="TOC2"/>
            <w:tabs>
              <w:tab w:val="right" w:leader="dot" w:pos="9628"/>
            </w:tabs>
          </w:pPr>
          <w:hyperlink w:anchor="_TocH002" w:history="1">
            <w:r>
              <w:t xml:space="preserve">The overshoot factor depends on the connection, the turn share on the winding scheme</w:t>
            </w:r>
            <w:r>
              <w:tab/>
            </w:r>
            <w:r>
              <w:t>3</w:t>
            </w:r>
          </w:hyperlink>
        </w:p>
        <w:p>
          <w:pPr>
            <w:pStyle w:val="TOC2"/>
            <w:tabs>
              <w:tab w:val="right" w:leader="dot" w:pos="9628"/>
            </w:tabs>
          </w:pPr>
          <w:hyperlink w:anchor="_TocH003" w:history="1">
            <w:r>
              <w:t xml:space="preserve">1200 and 1600 V exceed the Type I domain and the automotive standards</w:t>
            </w:r>
            <w:r>
              <w:tab/>
            </w:r>
            <w:r>
              <w:t>4</w:t>
            </w:r>
          </w:hyperlink>
        </w:p>
        <w:p>
          <w:pPr>
            <w:pStyle w:val="TOC2"/>
            <w:tabs>
              <w:tab w:val="right" w:leader="dot" w:pos="9628"/>
            </w:tabs>
          </w:pPr>
          <w:hyperlink w:anchor="_TocH004" w:history="1">
            <w:r>
              <w:t xml:space="preserve">For the same bus voltage, the target varies by more than a factor of two depending on the framework</w:t>
            </w:r>
            <w:r>
              <w:tab/>
            </w:r>
            <w:r>
              <w:t>5</w:t>
            </w:r>
          </w:hyperlink>
        </w:p>
        <w:p>
          <w:pPr>
            <w:pStyle w:val="TOC1"/>
            <w:tabs>
              <w:tab w:val="right" w:leader="dot" w:pos="9628"/>
            </w:tabs>
          </w:pPr>
          <w:hyperlink w:anchor="_TocH005" w:history="1">
            <w:r>
              <w:t xml:space="preserve">Thick enamel and tape are enough for 800 V, but no wire is enough for 1600 V</w:t>
            </w:r>
            <w:r>
              <w:tab/>
            </w:r>
            <w:r>
              <w:t>6</w:t>
            </w:r>
          </w:hyperlink>
        </w:p>
        <w:p>
          <w:pPr>
            <w:pStyle w:val="TOC2"/>
            <w:tabs>
              <w:tab w:val="right" w:leader="dot" w:pos="9628"/>
            </w:tabs>
          </w:pPr>
          <w:hyperlink w:anchor="_TocH006" w:history="1">
            <w:r>
              <w:t xml:space="preserve">Doubling the voltage multiplies t/εr by four and a half</w:t>
            </w:r>
            <w:r>
              <w:tab/>
            </w:r>
            <w:r>
              <w:t>6</w:t>
            </w:r>
          </w:hyperlink>
        </w:p>
        <w:p>
          <w:pPr>
            <w:pStyle w:val="TOC2"/>
            <w:tabs>
              <w:tab w:val="right" w:leader="dot" w:pos="9628"/>
            </w:tabs>
          </w:pPr>
          <w:hyperlink w:anchor="_TocH007" w:history="1">
            <w:r>
              <w:t xml:space="preserve">Aging erodes the margin faster than IEC assumes</w:t>
            </w:r>
            <w:r>
              <w:tab/>
            </w:r>
            <w:r>
              <w:t>7</w:t>
            </w:r>
          </w:hyperlink>
        </w:p>
        <w:p>
          <w:pPr>
            <w:pStyle w:val="TOC2"/>
            <w:tabs>
              <w:tab w:val="right" w:leader="dot" w:pos="9628"/>
            </w:tabs>
          </w:pPr>
          <w:hyperlink w:anchor="_TocH008" w:history="1">
            <w:r>
              <w:t xml:space="preserve">Among the eight candidates, Kapton tape is the type closest to 1200 V</w:t>
            </w:r>
            <w:r>
              <w:tab/>
            </w:r>
            <w:r>
              <w:t>7</w:t>
            </w:r>
          </w:hyperlink>
        </w:p>
        <w:p>
          <w:pPr>
            <w:pStyle w:val="TOC1"/>
            <w:tabs>
              <w:tab w:val="right" w:leader="dot" w:pos="9628"/>
            </w:tabs>
          </w:pPr>
          <w:hyperlink w:anchor="_TocH009" w:history="1">
            <w:r>
              <w:t xml:space="preserve">A hot oil film eats as much margin as the bus voltage increase</w:t>
            </w:r>
            <w:r>
              <w:tab/>
            </w:r>
            <w:r>
              <w:t>10</w:t>
            </w:r>
          </w:hyperlink>
        </w:p>
        <w:p>
          <w:pPr>
            <w:pStyle w:val="TOC1"/>
            <w:tabs>
              <w:tab w:val="right" w:leader="dot" w:pos="9628"/>
            </w:tabs>
          </w:pPr>
          <w:hyperlink w:anchor="_TocH010" w:history="1">
            <w:r>
              <w:t xml:space="preserve">The voltage dimension is added with three layers and 30–60 additional samples</w:t>
            </w:r>
            <w:r>
              <w:tab/>
            </w:r>
            <w:r>
              <w:t>12</w:t>
            </w:r>
          </w:hyperlink>
        </w:p>
        <w:p>
          <w:pPr>
            <w:pStyle w:val="TOC2"/>
            <w:tabs>
              <w:tab w:val="right" w:leader="dot" w:pos="9628"/>
            </w:tabs>
          </w:pPr>
          <w:hyperlink w:anchor="_TocH011" w:history="1">
            <w:r>
              <w:t xml:space="preserve">Make voltage an evaluation axis, not an aging axis</w:t>
            </w:r>
            <w:r>
              <w:tab/>
            </w:r>
            <w:r>
              <w:t>12</w:t>
            </w:r>
          </w:hyperlink>
        </w:p>
        <w:p>
          <w:pPr>
            <w:pStyle w:val="TOC2"/>
            <w:tabs>
              <w:tab w:val="right" w:leader="dot" w:pos="9628"/>
            </w:tabs>
          </w:pPr>
          <w:hyperlink w:anchor="_TocH012" w:history="1">
            <w:r>
              <w:t xml:space="preserve">Four models, three wetness states, two temperatures</w:t>
            </w:r>
            <w:r>
              <w:tab/>
            </w:r>
            <w:r>
              <w:t>12</w:t>
            </w:r>
          </w:hyperlink>
        </w:p>
        <w:p>
          <w:pPr>
            <w:pStyle w:val="TOC2"/>
            <w:tabs>
              <w:tab w:val="right" w:leader="dot" w:pos="9628"/>
            </w:tabs>
          </w:pPr>
          <w:hyperlink w:anchor="_TocH013" w:history="1">
            <w:r>
              <w:t xml:space="preserve">5 kV rms AC covers all classes, the impulse source does not</w:t>
            </w:r>
            <w:r>
              <w:tab/>
            </w:r>
            <w:r>
              <w:t>13</w:t>
            </w:r>
          </w:hyperlink>
        </w:p>
        <w:p>
          <w:pPr>
            <w:pStyle w:val="TOC2"/>
            <w:tabs>
              <w:tab w:val="right" w:leader="dot" w:pos="9628"/>
            </w:tabs>
          </w:pPr>
          <w:hyperlink w:anchor="_TocH014" w:history="1">
            <w:r>
              <w:t xml:space="preserve">The energized subgroup separates out synergy and corrosion</w:t>
            </w:r>
            <w:r>
              <w:tab/>
            </w:r>
            <w:r>
              <w:t>14</w:t>
            </w:r>
          </w:hyperlink>
        </w:p>
        <w:p>
          <w:pPr>
            <w:pStyle w:val="TOC2"/>
            <w:tabs>
              <w:tab w:val="right" w:leader="dot" w:pos="9628"/>
            </w:tabs>
          </w:pPr>
          <w:hyperlink w:anchor="_TocH015" w:history="1">
            <w:r>
              <w:t xml:space="preserve">Acceptance: mean − 3σ must exceed the target, retention must stay above 50%</w:t>
            </w:r>
            <w:r>
              <w:tab/>
            </w:r>
            <w:r>
              <w:t>14</w:t>
            </w:r>
          </w:hyperlink>
        </w:p>
        <w:p>
          <w:pPr>
            <w:pStyle w:val="TOC2"/>
            <w:tabs>
              <w:tab w:val="right" w:leader="dot" w:pos="9628"/>
            </w:tabs>
          </w:pPr>
          <w:hyperlink w:anchor="_TocH016" w:history="1">
            <w:r>
              <w:t xml:space="preserve">Do not energize oily samples in a hot oven</w:t>
            </w:r>
            <w:r>
              <w:tab/>
            </w:r>
            <w:r>
              <w:t>15</w:t>
            </w:r>
          </w:hyperlink>
        </w:p>
        <w:p>
          <w:pPr>
            <w:pStyle w:val="TOC1"/>
            <w:tabs>
              <w:tab w:val="right" w:leader="dot" w:pos="9628"/>
            </w:tabs>
          </w:pPr>
          <w:hyperlink w:anchor="_TocH017" w:history="1">
            <w:r>
              <w:t xml:space="preserve">Conclusion</w:t>
            </w:r>
            <w:r>
              <w:tab/>
            </w:r>
            <w:r>
              <w:t>15</w:t>
            </w:r>
          </w:hyperlink>
          <w:r>
            <w:fldChar w:fldCharType="end"/>
          </w:r>
        </w:p>
      </w:sdtContent>
    </w:sdt>
    <w:p>
      <w:r>
        <w:br w:type="page"/>
      </w:r>
    </w:p>
    <w:p>
      <w:pPr>
        <w:pStyle w:val="Heading1"/>
      </w:pPr>
      <w:bookmarkStart w:name="_TocH018" w:id="1"/>
      <w:r>
        <w:t xml:space="preserve">Summary</w:t>
      </w:r>
      <w:bookmarkEnd w:id="1"/>
    </w:p>
    <w:p>
      <w:r>
        <w:rPr>
          <w:sz w:val="20"/>
          <w:szCs w:val="20"/>
        </w:rPr>
        <w:t xml:space="preserve">Different DC bus voltages should be added to your plan not as a new aging condition but as an evaluation axis. PDIV/PDEV measured in the dry state, after aging in oil, and at every repetition hot and in a defined wetness state are converted, per insulation path (turn-to-turn T/T, phase-to-phase P/P, phase-to-ground P/G), into a </w:t>
      </w:r>
      <w:r>
        <w:rPr>
          <w:b/>
          <w:bCs/>
          <w:sz w:val="20"/>
          <w:szCs w:val="20"/>
        </w:rPr>
        <w:t xml:space="preserve">"permissible maximum bus voltage"</w:t>
      </w:r>
      <w:r>
        <w:rPr>
          <w:sz w:val="20"/>
          <w:szCs w:val="20"/>
        </w:rPr>
        <w:t xml:space="preserve">; 800, 1200 and 1600 V then become just three thresholds on this axis. Making voltage an aging factor would require ~1080 energized specimens and 72 energized vessels for 8 candidate types; with this approach, the requirement drops to an energized subgroup of 30–60 specimens (calculation). Stresses grow linearly with bus voltage: at the same overshoot factor, 1200 V stresses every path by a factor of 1.5 and 1600 V by a factor of 2, and with the IEC 60034-18-41 chain the new-specimen targets at 1600 V become </w:t>
      </w:r>
      <w:r>
        <w:rPr>
          <w:b/>
          <w:bCs/>
          <w:sz w:val="20"/>
          <w:szCs w:val="20"/>
        </w:rPr>
        <w:t xml:space="preserve">T/T 2.6–3.3, P/G 4.4–5.5, P/P 7.5–9.4 kVpp</w:t>
      </w:r>
      <w:r>
        <w:rPr>
          <w:sz w:val="20"/>
          <w:szCs w:val="20"/>
        </w:rPr>
        <w:t xml:space="preserve"> (calculation). The line voltage of 1200 and 1600 V (735–1131 V rms) exceeds the 700 V rms that IEC associates with PD-free Type I systems; 1600 V also falls outside IEC TS 61857-42 (≤1000 V) as well as IEC 60664-1 and UN R100 (≤1500 V DC). In hairpin windings, the limiting path is the phase-to-phase gap in the end winding: 110 µm PAI enamel gave a positive margin at 800 V and a negative margin at 1000–1200 V (</w:t>
      </w:r>
      <w:hyperlink w:history="1" r:id="rId_lhjn2b8b-dvju_cz52uh">
        <w:r>
          <w:rPr>
            <w:color w:val="0563C1"/>
            <w:sz w:val="20"/>
            <w:szCs w:val="20"/>
            <w:u w:val="single"/>
          </w:rPr>
          <w:t xml:space="preserve">HEFT D2.4</w:t>
        </w:r>
      </w:hyperlink>
      <w:r>
        <w:rPr>
          <w:sz w:val="20"/>
          <w:szCs w:val="20"/>
        </w:rPr>
        <w:t xml:space="preserve">), and no wire insulation with published data provides on its own the 0.8–1.1 mm of total insulation that the P/P and P/G paths require at 1600 V in the IEC chain. Of the types in stock, the one closest to 1200 V is Kapton tape adding 0.15–0.35 mm; the three glass-fiber types are porous and are therefore not PD-free candidates but a PD-resistant comparison class; parylene, with its low εr, is valuable as a thin layer over the enamel, and epoxy powder as a weld-end insulation that is thick but thin at the corners (calculation and inference). Oil shifts the picture on its own: a thin ATF film raises PDIV by 39% at 20 °C but lowers it to 9% below the dry value at 150 °C; the hot wet state is </w:t>
      </w:r>
      <w:r>
        <w:rPr>
          <w:b/>
          <w:bCs/>
          <w:sz w:val="20"/>
          <w:szCs w:val="20"/>
        </w:rPr>
        <w:t xml:space="preserve">1.76 times</w:t>
      </w:r>
      <w:r>
        <w:rPr>
          <w:sz w:val="20"/>
          <w:szCs w:val="20"/>
        </w:rPr>
        <w:t xml:space="preserve"> worse than the wet measurement at room temperature, and this difference is larger than the step from 800 to 1200 V (</w:t>
      </w:r>
      <w:hyperlink w:history="1" r:id="rIdpfoskomhukfatvfggml_p">
        <w:r>
          <w:rPr>
            <w:color w:val="0563C1"/>
            <w:sz w:val="20"/>
            <w:szCs w:val="20"/>
            <w:u w:val="single"/>
          </w:rPr>
          <w:t xml:space="preserve">Chen et al. 2022</w:t>
        </w:r>
      </w:hyperlink>
      <w:r>
        <w:rPr>
          <w:sz w:val="20"/>
          <w:szCs w:val="20"/>
        </w:rPr>
        <w:t xml:space="preserve">). Conductive deposits lower PDIV by 22–43%, whereas energized copper corrosion has been tested only at 5 V. The PD-free margin should therefore be measured hot, in the drained and aged state; for acceptance, mean − 3σ ≥ class target and retention of at least 50% of the initial PDIV are recommended.</w:t>
      </w:r>
    </w:p>
    <w:p>
      <w:pPr>
        <w:pStyle w:val="Heading1"/>
      </w:pPr>
      <w:bookmarkStart w:name="_TocH001" w:id="2"/>
      <w:r>
        <w:t xml:space="preserve">Stresses scale linearly with bus voltage, and 1600 V falls outside the standards</w:t>
      </w:r>
      <w:bookmarkEnd w:id="2"/>
    </w:p>
    <w:p>
      <w:pPr>
        <w:pStyle w:val="Heading2"/>
      </w:pPr>
      <w:bookmarkStart w:name="_TocH002" w:id="3"/>
      <w:r>
        <w:t xml:space="preserve">The overshoot factor depends on the connection, the turn share on the winding scheme</w:t>
      </w:r>
      <w:bookmarkEnd w:id="3"/>
    </w:p>
    <w:p>
      <w:r>
        <w:rPr>
          <w:sz w:val="20"/>
          <w:szCs w:val="20"/>
        </w:rPr>
        <w:t xml:space="preserve">For a winding fed by a two-level inverter, the peak-to-peak voltage seen by the three insulation paths can be written in the IEC 60034-18-41 framework with the relations </w:t>
      </w:r>
      <w:r>
        <w:rPr>
          <w:b/>
          <w:bCs/>
          <w:sz w:val="20"/>
          <w:szCs w:val="20"/>
        </w:rPr>
        <w:t xml:space="preserve">P/P = 2·OF·Udc, P/G ≈ 1.4·OF·Udc and T/T = 2·a·Uj</w:t>
      </w:r>
      <w:r>
        <w:rPr>
          <w:sz w:val="20"/>
          <w:szCs w:val="20"/>
        </w:rPr>
        <w:t xml:space="preserve">. OF is the ratio of the peak voltage at the motor terminals to the bus voltage (overshoot factor), Uj is the jump voltage at each switching event, and a is the share of it that falls on a turn. The first two relations reproduce, within rounding and with Udc = 1.35·U_N, the IVIC limits in Table D.1 of the standard's AMD1 (A to D: P/P 3.0–6.7, P/G 2.1–4.7 × U_N) (</w:t>
      </w:r>
      <w:hyperlink w:history="1" r:id="rIdy1lrwi674f7bcqfquw99w">
        <w:r>
          <w:rPr>
            <w:color w:val="0563C1"/>
            <w:sz w:val="20"/>
            <w:szCs w:val="20"/>
            <w:u w:val="single"/>
          </w:rPr>
          <w:t xml:space="preserve">IEC 60034-18-41 AMD1:2019</w:t>
        </w:r>
      </w:hyperlink>
      <w:r>
        <w:rPr>
          <w:sz w:val="20"/>
          <w:szCs w:val="20"/>
        </w:rPr>
        <w:t xml:space="preserve">; calculation). Without measurement or simulation, the winding factor is taken as 2 for P/P, 1.4 for P/G and 0.7 for T/T (</w:t>
      </w:r>
      <w:hyperlink w:history="1" r:id="rId4mvsefd9tjvboyo097pz-">
        <w:r>
          <w:rPr>
            <w:color w:val="0563C1"/>
            <w:sz w:val="20"/>
            <w:szCs w:val="20"/>
            <w:u w:val="single"/>
          </w:rPr>
          <w:t xml:space="preserve">Lusuardi et al. 2021</w:t>
        </w:r>
      </w:hyperlink>
      <w:r>
        <w:rPr>
          <w:sz w:val="20"/>
          <w:szCs w:val="20"/>
        </w:rPr>
        <w:t xml:space="preserve">). Because the relations are linear, </w:t>
      </w:r>
      <w:r>
        <w:rPr>
          <w:b/>
          <w:bCs/>
          <w:sz w:val="20"/>
          <w:szCs w:val="20"/>
        </w:rPr>
        <w:t xml:space="preserve">at the same OF, 1200 V stresses every path by a factor of 1.5 and 1600 V by a factor of 2</w:t>
      </w:r>
      <w:r>
        <w:rPr>
          <w:sz w:val="20"/>
          <w:szCs w:val="20"/>
        </w:rPr>
        <w:t xml:space="preserve">: at OF 1.5, the operating stress is P/P 2.40, P/G 1.68 and T/T 0.84 kVpp at 800 V, and 4.80, 3.36 and 1.68 kVpp at 1600 V (calculation). OF is determined by the surge impedance mismatch between the cable and the motor. Since the cable's impedance is tens of ohms and the machine's hundreds of ohms, the reflection coefficient is close to one and the peak voltage can double at the winding terminals; if the switch turns on and off within a very short time, the total overvoltage can reach about three times the bus voltage (</w:t>
      </w:r>
      <w:hyperlink w:history="1" r:id="rId0zwhybaw4dw9by6pchlft">
        <w:r>
          <w:rPr>
            <w:color w:val="0563C1"/>
            <w:sz w:val="20"/>
            <w:szCs w:val="20"/>
            <w:u w:val="single"/>
          </w:rPr>
          <w:t xml:space="preserve">CIGRE WG D1.43</w:t>
        </w:r>
      </w:hyperlink>
      <w:r>
        <w:rPr>
          <w:sz w:val="20"/>
          <w:szCs w:val="20"/>
        </w:rPr>
        <w:t xml:space="preserve">). The critical cable length is approximately v·tr/2: on a 20 m cable, pulses shorter than 235 ns overshoot by almost 100% (</w:t>
      </w:r>
      <w:hyperlink w:history="1" r:id="rIdc6nysmbqgsxdenaci2nlu">
        <w:r>
          <w:rPr>
            <w:color w:val="0563C1"/>
            <w:sz w:val="20"/>
            <w:szCs w:val="20"/>
            <w:u w:val="single"/>
          </w:rPr>
          <w:t xml:space="preserve">GAMBICA/BEAMA 2016</w:t>
        </w:r>
      </w:hyperlink>
      <w:r>
        <w:rPr>
          <w:sz w:val="20"/>
          <w:szCs w:val="20"/>
        </w:rPr>
        <w:t xml:space="preserve">). SiC reduces this length to 1–2.5 m; in a 100 kW SiC inverter reaching 17 V/ns at 800 V, 2.5 m is enough for full reflection, whereas with a 400 ns rise this value is 20 m (</w:t>
      </w:r>
      <w:hyperlink w:history="1" r:id="rIddx6so84i3_gjytom3ebgp">
        <w:r>
          <w:rPr>
            <w:color w:val="0563C1"/>
            <w:sz w:val="20"/>
            <w:szCs w:val="20"/>
            <w:u w:val="single"/>
          </w:rPr>
          <w:t xml:space="preserve">US11114972B2</w:t>
        </w:r>
      </w:hyperlink>
      <w:r>
        <w:rPr>
          <w:sz w:val="20"/>
          <w:szCs w:val="20"/>
        </w:rPr>
        <w:t xml:space="preserve">). SiC rise times below 0.1 µs should therefore be assessed in the standard's most severe category, D (OF ≤2.5) (</w:t>
      </w:r>
      <w:hyperlink w:history="1" r:id="rIddo7id37sdcx8g5k6dosf7">
        <w:r>
          <w:rPr>
            <w:color w:val="0563C1"/>
            <w:sz w:val="20"/>
            <w:szCs w:val="20"/>
            <w:u w:val="single"/>
          </w:rPr>
          <w:t xml:space="preserve">Pauli et al. 2020</w:t>
        </w:r>
      </w:hyperlink>
      <w:r>
        <w:rPr>
          <w:sz w:val="20"/>
          <w:szCs w:val="20"/>
        </w:rPr>
        <w:t xml:space="preserve">). At a fixed 30 ns rise, dv/dt is 21, 32 and 43 V/ns for 800, 1200 and 1600 V; if dv/dt is limited to 20 V/ns because of EMI, the critical length grows from 2.4–2.7 m to 4.8–5.4 m, and although the relative OF drops slightly, the absolute overshoot (OF·Udc) still increases (calculation). In practice there are two scenarios. In an integrated e-axle whose connection is tens of centimeters long, OF can stay in the 1.1–1.3 band; the HEFT project used the </w:t>
      </w:r>
      <w:r>
        <w:rPr>
          <w:b/>
          <w:bCs/>
          <w:sz w:val="20"/>
          <w:szCs w:val="20"/>
        </w:rPr>
        <w:t xml:space="preserve">OF = 1.2</w:t>
      </w:r>
      <w:r>
        <w:rPr>
          <w:sz w:val="20"/>
          <w:szCs w:val="20"/>
        </w:rPr>
        <w:t xml:space="preserve"> measured by GKN (</w:t>
      </w:r>
      <w:hyperlink w:history="1" r:id="rIdl7ddpuuri0wqllqm8kjtv">
        <w:r>
          <w:rPr>
            <w:color w:val="0563C1"/>
            <w:sz w:val="20"/>
            <w:szCs w:val="20"/>
            <w:u w:val="single"/>
          </w:rPr>
          <w:t xml:space="preserve">HEFT D2.4</w:t>
        </w:r>
      </w:hyperlink>
      <w:r>
        <w:rPr>
          <w:sz w:val="20"/>
          <w:szCs w:val="20"/>
        </w:rPr>
        <w:t xml:space="preserve">). For a cable-fed SiC drive, by contrast, OF = 2.0 should be assumed.</w:t>
      </w:r>
    </w:p>
    <w:p>
      <w:r>
        <w:rPr>
          <w:sz w:val="20"/>
          <w:szCs w:val="20"/>
        </w:rPr>
        <w:t xml:space="preserve">Turn-to-turn stress is the most uncertain of the three paths. The share of the jump voltage that falls on a turn depends on the winding design and grows as the rise time shortens, and most of the voltage lands on the first few turns (</w:t>
      </w:r>
      <w:hyperlink w:history="1" r:id="rId4xtb8gpt0ikbvf3jj1tiq">
        <w:r>
          <w:rPr>
            <w:color w:val="0563C1"/>
            <w:sz w:val="20"/>
            <w:szCs w:val="20"/>
            <w:u w:val="single"/>
          </w:rPr>
          <w:t xml:space="preserve">CIGRE WG D1.43</w:t>
        </w:r>
      </w:hyperlink>
      <w:r>
        <w:rPr>
          <w:sz w:val="20"/>
          <w:szCs w:val="20"/>
        </w:rPr>
        <w:t xml:space="preserve">). The inter-turn voltage can reach 30–90% of the incoming peak voltage (</w:t>
      </w:r>
      <w:hyperlink w:history="1" r:id="rId8lkrw4yvtw1he6-2imdmx">
        <w:r>
          <w:rPr>
            <w:color w:val="0563C1"/>
            <w:sz w:val="20"/>
            <w:szCs w:val="20"/>
            <w:u w:val="single"/>
          </w:rPr>
          <w:t xml:space="preserve">GAMBICA/BEAMA 2016</w:t>
        </w:r>
      </w:hyperlink>
      <w:r>
        <w:rPr>
          <w:sz w:val="20"/>
          <w:szCs w:val="20"/>
        </w:rPr>
        <w:t xml:space="preserve">); in a random-wound motor, </w:t>
      </w:r>
      <w:r>
        <w:rPr>
          <w:b/>
          <w:bCs/>
          <w:sz w:val="20"/>
          <w:szCs w:val="20"/>
        </w:rPr>
        <w:t xml:space="preserve">1.47 p.u.</w:t>
      </w:r>
      <w:r>
        <w:rPr>
          <w:sz w:val="20"/>
          <w:szCs w:val="20"/>
        </w:rPr>
        <w:t xml:space="preserve"> was measured with the first and last turns adjacent (</w:t>
      </w:r>
      <w:hyperlink w:history="1" r:id="rIdw0-1omjxe8iodb7h1fwaw">
        <w:r>
          <w:rPr>
            <w:color w:val="0563C1"/>
            <w:sz w:val="20"/>
            <w:szCs w:val="20"/>
            <w:u w:val="single"/>
          </w:rPr>
          <w:t xml:space="preserve">Lusuardi et al. 2021</w:t>
        </w:r>
      </w:hyperlink>
      <w:r>
        <w:rPr>
          <w:sz w:val="20"/>
          <w:szCs w:val="20"/>
        </w:rPr>
        <w:t xml:space="preserve">), and the turns on the neutral side can be stressed more than those at the terminal end (</w:t>
      </w:r>
      <w:hyperlink w:history="1" r:id="rIdfp2ksbrww47wiw8iswrvy">
        <w:r>
          <w:rPr>
            <w:color w:val="0563C1"/>
            <w:sz w:val="20"/>
            <w:szCs w:val="20"/>
            <w:u w:val="single"/>
          </w:rPr>
          <w:t xml:space="preserve">Barzkar and Ghassemi 2022</w:t>
        </w:r>
      </w:hyperlink>
      <w:r>
        <w:rPr>
          <w:sz w:val="20"/>
          <w:szCs w:val="20"/>
        </w:rPr>
        <w:t xml:space="preserve">). Because the conductors in hairpin windings are in fixed positions, the distribution can be calculated and points with a high potential difference can be insulated individually (</w:t>
      </w:r>
      <w:hyperlink w:history="1" r:id="rIdr2_v77pltkdyy9zwtbden">
        <w:r>
          <w:rPr>
            <w:color w:val="0563C1"/>
            <w:sz w:val="20"/>
            <w:szCs w:val="20"/>
            <w:u w:val="single"/>
          </w:rPr>
          <w:t xml:space="preserve">Dittmann et al. 2022</w:t>
        </w:r>
      </w:hyperlink>
      <w:r>
        <w:rPr>
          <w:sz w:val="20"/>
          <w:szCs w:val="20"/>
        </w:rPr>
        <w:t xml:space="preserve">). In a sequential hairpin layout at 800 V, T/T is only </w:t>
      </w:r>
      <w:r>
        <w:rPr>
          <w:b/>
          <w:bCs/>
          <w:sz w:val="20"/>
          <w:szCs w:val="20"/>
        </w:rPr>
        <w:t xml:space="preserve">≈224 Vpp</w:t>
      </w:r>
      <w:r>
        <w:rPr>
          <w:sz w:val="20"/>
          <w:szCs w:val="20"/>
        </w:rPr>
        <w:t xml:space="preserve"> and 30% of the jump voltage falls on the first two turns; in the end winding, however, conductors of different phases typically sit side by side across an air gap of ≥100 µm, and this phase-to-phase path is </w:t>
      </w:r>
      <w:r>
        <w:rPr>
          <w:b/>
          <w:bCs/>
          <w:sz w:val="20"/>
          <w:szCs w:val="20"/>
        </w:rPr>
        <w:t xml:space="preserve">"the most critical part"</w:t>
      </w:r>
      <w:r>
        <w:rPr>
          <w:sz w:val="20"/>
          <w:szCs w:val="20"/>
        </w:rPr>
        <w:t xml:space="preserve"> (</w:t>
      </w:r>
      <w:hyperlink w:history="1" r:id="rIdlexrzkymlkn7ywqzbpyhi">
        <w:r>
          <w:rPr>
            <w:color w:val="0563C1"/>
            <w:sz w:val="20"/>
            <w:szCs w:val="20"/>
            <w:u w:val="single"/>
          </w:rPr>
          <w:t xml:space="preserve">Martinez et al. 2025</w:t>
        </w:r>
      </w:hyperlink>
      <w:r>
        <w:rPr>
          <w:sz w:val="20"/>
          <w:szCs w:val="20"/>
        </w:rPr>
        <w:t xml:space="preserve">). Using finite elements, HEFT found a turn share of ρ = 0.19 (conservative value 0.3) for a 30 ns edge (</w:t>
      </w:r>
      <w:hyperlink w:history="1" r:id="rIduiu6x9sxtqhdxw58xpoqe">
        <w:r>
          <w:rPr>
            <w:color w:val="0563C1"/>
            <w:sz w:val="20"/>
            <w:szCs w:val="20"/>
            <w:u w:val="single"/>
          </w:rPr>
          <w:t xml:space="preserve">HEFT D2.4</w:t>
        </w:r>
      </w:hyperlink>
      <w:r>
        <w:rPr>
          <w:sz w:val="20"/>
          <w:szCs w:val="20"/>
        </w:rPr>
        <w:t xml:space="preserve">). In hairpin windings, the limiting paths are therefore P/P and P/G. T/T becomes decisive only if the first and last conductors of a phase are adjacent; in that case, with a = 0.9 and OF 1.2, the T/T verification target for 1600 V rises to 6.74 kVpp (calculation). The winding scheme matters as much as the material. Because a three-level (NPC, ANPC, T-type) inverter steps by Udc/2 at each switching event, it roughly halves the T/T stress, and a 1600 V three-level drive is equivalent in T/T to an 800 V two-level one. The P/P peak-to-peak, by contrast, only drops from 2·OF·Udc to (1+OF)·Udc; at OF 2, it is 3·Udc instead of 4·Udc (calculation).</w:t>
      </w:r>
    </w:p>
    <w:p>
      <w:r>
        <w:rPr>
          <w:sz w:val="20"/>
          <w:szCs w:val="20"/>
        </w:rPr>
        <w:t xml:space="preserve">Switching frequency and edge rate have little effect on PD inception but a strong effect on life once PD has started. In a 2 kV mica coil, shortening the edge from 800 ns to 100 ns lowered PDIV by only 6%, and a repetition rate of 1–8 kHz changed RPDIV by less than 90 V (</w:t>
      </w:r>
      <w:hyperlink w:history="1" r:id="rIdv6buicrgdcot1xwkq0n59">
        <w:r>
          <w:rPr>
            <w:color w:val="0563C1"/>
            <w:sz w:val="20"/>
            <w:szCs w:val="20"/>
            <w:u w:val="single"/>
          </w:rPr>
          <w:t xml:space="preserve">Hu et al. 2021</w:t>
        </w:r>
      </w:hyperlink>
      <w:r>
        <w:rPr>
          <w:sz w:val="20"/>
          <w:szCs w:val="20"/>
        </w:rPr>
        <w:t xml:space="preserve">). By contrast, enameled twisted pairs under PD lasted 55 min on average at 1 kHz and 4 min at 11 kHz; life is roughly inversely proportional to frequency (</w:t>
      </w:r>
      <w:hyperlink w:history="1" r:id="rIdorumfsbihkdmpisuxxvbm">
        <w:r>
          <w:rPr>
            <w:color w:val="0563C1"/>
            <w:sz w:val="20"/>
            <w:szCs w:val="20"/>
            <w:u w:val="single"/>
          </w:rPr>
          <w:t xml:space="preserve">Sahan et al. 2024</w:t>
        </w:r>
      </w:hyperlink>
      <w:r>
        <w:rPr>
          <w:sz w:val="20"/>
          <w:szCs w:val="20"/>
        </w:rPr>
        <w:t xml:space="preserve">). Under unipolar repetitive edges, interface and bulk charges shift PDIV and RPDIV by 0.1–1.2 kV within one hour of pre-stressing; the shifts are largest at the fastest edge and the highest frequency (</w:t>
      </w:r>
      <w:hyperlink w:history="1" r:id="rIdbbqqyqlcee8b7k1mmciov">
        <w:r>
          <w:rPr>
            <w:color w:val="0563C1"/>
            <w:sz w:val="20"/>
            <w:szCs w:val="20"/>
            <w:u w:val="single"/>
          </w:rPr>
          <w:t xml:space="preserve">Naderiallaf et al. 2023</w:t>
        </w:r>
      </w:hyperlink>
      <w:r>
        <w:rPr>
          <w:sz w:val="20"/>
          <w:szCs w:val="20"/>
        </w:rPr>
        <w:t xml:space="preserve">). Polarity, frequency and pre-stress duration should therefore be fixed in the 1200 and 1600 V protocols. A high bus voltage adds no significant thermal load to the insulation. In form-wound coils, a frequency increase of about 1 kHz heated the main wall hot spot by ~10 °C (</w:t>
      </w:r>
      <w:hyperlink w:history="1" r:id="rIdpuy9y3ndvpj5bfmcixzlf">
        <w:r>
          <w:rPr>
            <w:color w:val="0563C1"/>
            <w:sz w:val="20"/>
            <w:szCs w:val="20"/>
            <w:u w:val="single"/>
          </w:rPr>
          <w:t xml:space="preserve">CIGRE WG D1.43</w:t>
        </w:r>
      </w:hyperlink>
      <w:r>
        <w:rPr>
          <w:sz w:val="20"/>
          <w:szCs w:val="20"/>
        </w:rPr>
        <w:t xml:space="preserve">); in thin hairpin insulation, by contrast, dielectric loss creates a difference of only ~0.05 K across the insulation (rough calculation; assuming εr 4.5, tan δ 0.02 and a 50 kHz equivalent harmonic). The aging temperature is set by copper loss and cooling, not by the voltage class.</w:t>
      </w:r>
    </w:p>
    <w:p>
      <w:pPr>
        <w:pStyle w:val="Heading2"/>
      </w:pPr>
      <w:bookmarkStart w:name="_TocH003" w:id="4"/>
      <w:r>
        <w:t xml:space="preserve">1200 and 1600 V exceed the Type I domain and the automotive standards</w:t>
      </w:r>
      <w:bookmarkEnd w:id="4"/>
    </w:p>
    <w:p>
      <w:r>
        <w:rPr>
          <w:sz w:val="20"/>
          <w:szCs w:val="20"/>
        </w:rPr>
        <w:t xml:space="preserve">1200 and 1600 V also change which family of standards the winding falls under. The fundamental line voltage for 800, 1200 and 1600 V is 490, 735 and 980 V rms with sinusoidal PWM, and 566, 849 and 1131 V rms at the linear limit of space-vector PWM (calculation). IEC 60034-18-41 associates PD-free </w:t>
      </w:r>
      <w:r>
        <w:rPr>
          <w:b/>
          <w:bCs/>
          <w:sz w:val="20"/>
          <w:szCs w:val="20"/>
        </w:rPr>
        <w:t xml:space="preserve">Type I</w:t>
      </w:r>
      <w:r>
        <w:rPr>
          <w:sz w:val="20"/>
          <w:szCs w:val="20"/>
        </w:rPr>
        <w:t xml:space="preserve"> systems with machines of "generally 700 V r.m.s. or below", and </w:t>
      </w:r>
      <w:r>
        <w:rPr>
          <w:b/>
          <w:bCs/>
          <w:sz w:val="20"/>
          <w:szCs w:val="20"/>
        </w:rPr>
        <w:t xml:space="preserve">Type II</w:t>
      </w:r>
      <w:r>
        <w:rPr>
          <w:sz w:val="20"/>
          <w:szCs w:val="20"/>
        </w:rPr>
        <w:t xml:space="preserve"> systems, which are qualified through destructive aging, mostly with machines above 700 V. This wording is descriptive: the scope has no upper voltage limit, and the two types are distinguished by whether PD is expected or not (</w:t>
      </w:r>
      <w:hyperlink w:history="1" r:id="rId7b85is7ji3g9p-qiphdei">
        <w:r>
          <w:rPr>
            <w:color w:val="0563C1"/>
            <w:sz w:val="20"/>
            <w:szCs w:val="20"/>
            <w:u w:val="single"/>
          </w:rPr>
          <w:t xml:space="preserve">IEC 60034-18-41 CSV preview</w:t>
        </w:r>
      </w:hyperlink>
      <w:r>
        <w:rPr>
          <w:sz w:val="20"/>
          <w:szCs w:val="20"/>
        </w:rPr>
        <w:t xml:space="preserve">). A 1200–1600 V hairpin machine can remain Type I if every path is shown to be PD-free after aging. If this cannot be shown, it moves to IEC 60034-18-42, where main wall, turn and field-control insulation are qualified by destructive life-curve tests, with mica or inorganic-filled materials (</w:t>
      </w:r>
      <w:hyperlink w:history="1" r:id="rIdbpx-q9x4febl-woppzuwv">
        <w:r>
          <w:rPr>
            <w:color w:val="0563C1"/>
            <w:sz w:val="20"/>
            <w:szCs w:val="20"/>
            <w:u w:val="single"/>
          </w:rPr>
          <w:t xml:space="preserve">IEC 60034-18-42 preview</w:t>
        </w:r>
      </w:hyperlink>
      <w:r>
        <w:rPr>
          <w:sz w:val="20"/>
          <w:szCs w:val="20"/>
        </w:rPr>
        <w:t xml:space="preserve">). The current text is the 2014 edition + AMD1:2019 (+COR1:2020). In a third-party database, the 2nd edition project appears as "project deleted" (stage 30.98) on July 8, 2026 (</w:t>
      </w:r>
      <w:hyperlink w:history="1" r:id="rId5t7_wyw-n4ho_kmxcfzw_">
        <w:r>
          <w:rPr>
            <w:color w:val="0563C1"/>
            <w:sz w:val="20"/>
            <w:szCs w:val="20"/>
            <w:u w:val="single"/>
          </w:rPr>
          <w:t xml:space="preserve">Genorma</w:t>
        </w:r>
      </w:hyperlink>
      <w:r>
        <w:rPr>
          <w:sz w:val="20"/>
          <w:szCs w:val="20"/>
        </w:rPr>
        <w:t xml:space="preserve">), but this could not be verified on IEC's own page (</w:t>
      </w:r>
      <w:hyperlink w:history="1" r:id="rIdfhun5rfklf5dcs0ag1cqs">
        <w:r>
          <w:rPr>
            <w:color w:val="0563C1"/>
            <w:sz w:val="20"/>
            <w:szCs w:val="20"/>
            <w:u w:val="single"/>
          </w:rPr>
          <w:t xml:space="preserve">IEC webstore</w:t>
        </w:r>
      </w:hyperlink>
      <w:r>
        <w:rPr>
          <w:sz w:val="20"/>
          <w:szCs w:val="20"/>
        </w:rPr>
        <w:t xml:space="preserve">); in either case, citations should refer to 2014 + AMD1:2019. Table 1 summarizes where the three classes stand in other documents.</w:t>
      </w:r>
    </w:p>
    <w:p>
      <w:r>
        <w:rPr>
          <w:b/>
          <w:bCs/>
          <w:sz w:val="20"/>
          <w:szCs w:val="20"/>
        </w:rPr>
        <w:t xml:space="preserve">Table 1. Position of the bus voltage classes in standards and in practice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26"/>
        <w:gridCol w:w="1903"/>
        <w:gridCol w:w="1332"/>
        <w:gridCol w:w="1320"/>
        <w:gridCol w:w="1257"/>
      </w:tblGrid>
      <w:tr>
        <w:trPr>
          <w:cantSplit/>
          <w:tblHeader/>
        </w:trPr>
        <w:tc>
          <w:tcPr>
            <w:tcW w:type="dxa" w:w="3826"/>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Document or domain</w:t>
            </w:r>
          </w:p>
        </w:tc>
        <w:tc>
          <w:tcPr>
            <w:tcW w:type="dxa" w:w="1903"/>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Limit</w:t>
            </w:r>
          </w:p>
        </w:tc>
        <w:tc>
          <w:tcPr>
            <w:tcW w:type="dxa" w:w="133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800 V</w:t>
            </w:r>
          </w:p>
        </w:tc>
        <w:tc>
          <w:tcPr>
            <w:tcW w:type="dxa" w:w="132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1200 V</w:t>
            </w:r>
          </w:p>
        </w:tc>
        <w:tc>
          <w:tcPr>
            <w:tcW w:type="dxa" w:w="125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1600 V</w:t>
            </w:r>
          </w:p>
        </w:tc>
      </w:tr>
      <w:tr>
        <w:trPr>
          <w:cantSplit/>
        </w:trPr>
        <w:tc>
          <w:tcPr>
            <w:tcW w:type="dxa" w:w="382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IEC 60034-18-41, Type I description (</w:t>
            </w:r>
            <w:hyperlink w:history="1" r:id="rIdwrvqp2dxdtfhmvd6pvg0z">
              <w:r>
                <w:rPr>
                  <w:b/>
                  <w:bCs/>
                  <w:color w:val="0563C1"/>
                  <w:sz w:val="16"/>
                  <w:szCs w:val="16"/>
                  <w:u w:val="single"/>
                </w:rPr>
                <w:t xml:space="preserve">preview</w:t>
              </w:r>
            </w:hyperlink>
            <w:r>
              <w:rPr>
                <w:b/>
                <w:bCs/>
                <w:sz w:val="16"/>
                <w:szCs w:val="16"/>
              </w:rPr>
              <w:t xml:space="preserve">)</w:t>
            </w:r>
          </w:p>
        </w:tc>
        <w:tc>
          <w:tcPr>
            <w:tcW w:type="dxa" w:w="190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≈700 V rms line voltage</w:t>
            </w:r>
          </w:p>
        </w:tc>
        <w:tc>
          <w:tcPr>
            <w:tcW w:type="dxa" w:w="133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Within (490–566 V)</w:t>
            </w:r>
          </w:p>
        </w:tc>
        <w:tc>
          <w:tcPr>
            <w:tcW w:type="dxa" w:w="13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Above (735–849 V)</w:t>
            </w:r>
          </w:p>
        </w:tc>
        <w:tc>
          <w:tcPr>
            <w:tcW w:type="dxa" w:w="125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Above (980–1131 V)</w:t>
            </w:r>
          </w:p>
        </w:tc>
      </w:tr>
      <w:tr>
        <w:trPr>
          <w:cantSplit/>
        </w:trPr>
        <w:tc>
          <w:tcPr>
            <w:tcW w:type="dxa" w:w="382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IEC TS 61857-42:2025, road vehicle EIS life (</w:t>
            </w:r>
            <w:hyperlink w:history="1" r:id="rIdia-maqxm6-7hkh_eszdtj">
              <w:r>
                <w:rPr>
                  <w:b/>
                  <w:bCs/>
                  <w:color w:val="0563C1"/>
                  <w:sz w:val="16"/>
                  <w:szCs w:val="16"/>
                  <w:u w:val="single"/>
                </w:rPr>
                <w:t xml:space="preserve">preview</w:t>
              </w:r>
            </w:hyperlink>
            <w:r>
              <w:rPr>
                <w:b/>
                <w:bCs/>
                <w:sz w:val="16"/>
                <w:szCs w:val="16"/>
              </w:rPr>
              <w:t xml:space="preserve">)</w:t>
            </w:r>
          </w:p>
        </w:tc>
        <w:tc>
          <w:tcPr>
            <w:tcW w:type="dxa" w:w="190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Battery DC ≤1000 V</w:t>
            </w:r>
          </w:p>
        </w:tc>
        <w:tc>
          <w:tcPr>
            <w:tcW w:type="dxa" w:w="133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Within</w:t>
            </w:r>
          </w:p>
        </w:tc>
        <w:tc>
          <w:tcPr>
            <w:tcW w:type="dxa" w:w="13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Outside</w:t>
            </w:r>
          </w:p>
        </w:tc>
        <w:tc>
          <w:tcPr>
            <w:tcW w:type="dxa" w:w="125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Outside</w:t>
            </w:r>
          </w:p>
        </w:tc>
      </w:tr>
      <w:tr>
        <w:trPr>
          <w:cantSplit/>
        </w:trPr>
        <w:tc>
          <w:tcPr>
            <w:tcW w:type="dxa" w:w="382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UN R100 "high voltage", ISO 6469-3 class B (</w:t>
            </w:r>
            <w:hyperlink w:history="1" r:id="rId8gcls5fg7envcx6bylv6v">
              <w:r>
                <w:rPr>
                  <w:b/>
                  <w:bCs/>
                  <w:color w:val="0563C1"/>
                  <w:sz w:val="16"/>
                  <w:szCs w:val="16"/>
                  <w:u w:val="single"/>
                </w:rPr>
                <w:t xml:space="preserve">R100 definition</w:t>
              </w:r>
            </w:hyperlink>
            <w:r>
              <w:rPr>
                <w:b/>
                <w:bCs/>
                <w:sz w:val="16"/>
                <w:szCs w:val="16"/>
              </w:rPr>
              <w:t xml:space="preserve">; </w:t>
            </w:r>
            <w:hyperlink w:history="1" r:id="rId9dql0igefhuxf1xb4e59a">
              <w:r>
                <w:rPr>
                  <w:b/>
                  <w:bCs/>
                  <w:color w:val="0563C1"/>
                  <w:sz w:val="16"/>
                  <w:szCs w:val="16"/>
                  <w:u w:val="single"/>
                </w:rPr>
                <w:t xml:space="preserve">ANSI</w:t>
              </w:r>
            </w:hyperlink>
            <w:r>
              <w:rPr>
                <w:b/>
                <w:bCs/>
                <w:sz w:val="16"/>
                <w:szCs w:val="16"/>
              </w:rPr>
              <w:t xml:space="preserve">)</w:t>
            </w:r>
          </w:p>
        </w:tc>
        <w:tc>
          <w:tcPr>
            <w:tcW w:type="dxa" w:w="190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≤1500 V DC</w:t>
            </w:r>
          </w:p>
        </w:tc>
        <w:tc>
          <w:tcPr>
            <w:tcW w:type="dxa" w:w="133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Within</w:t>
            </w:r>
          </w:p>
        </w:tc>
        <w:tc>
          <w:tcPr>
            <w:tcW w:type="dxa" w:w="13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Within</w:t>
            </w:r>
          </w:p>
        </w:tc>
        <w:tc>
          <w:tcPr>
            <w:tcW w:type="dxa" w:w="125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Outside</w:t>
            </w:r>
          </w:p>
        </w:tc>
      </w:tr>
      <w:tr>
        <w:trPr>
          <w:cantSplit/>
        </w:trPr>
        <w:tc>
          <w:tcPr>
            <w:tcW w:type="dxa" w:w="382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IEC 60664-1:2020 insulation coordination (</w:t>
            </w:r>
            <w:hyperlink w:history="1" r:id="rIdmqpxia4hdxykfz5z0qzf9">
              <w:r>
                <w:rPr>
                  <w:b/>
                  <w:bCs/>
                  <w:color w:val="0563C1"/>
                  <w:sz w:val="16"/>
                  <w:szCs w:val="16"/>
                  <w:u w:val="single"/>
                </w:rPr>
                <w:t xml:space="preserve">preview</w:t>
              </w:r>
            </w:hyperlink>
            <w:r>
              <w:rPr>
                <w:b/>
                <w:bCs/>
                <w:sz w:val="16"/>
                <w:szCs w:val="16"/>
              </w:rPr>
              <w:t xml:space="preserve">)</w:t>
            </w:r>
          </w:p>
        </w:tc>
        <w:tc>
          <w:tcPr>
            <w:tcW w:type="dxa" w:w="190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≤1500 V DC, ≤30 kHz</w:t>
            </w:r>
          </w:p>
        </w:tc>
        <w:tc>
          <w:tcPr>
            <w:tcW w:type="dxa" w:w="133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Within</w:t>
            </w:r>
          </w:p>
        </w:tc>
        <w:tc>
          <w:tcPr>
            <w:tcW w:type="dxa" w:w="13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Within</w:t>
            </w:r>
          </w:p>
        </w:tc>
        <w:tc>
          <w:tcPr>
            <w:tcW w:type="dxa" w:w="125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Outside</w:t>
            </w:r>
          </w:p>
        </w:tc>
      </w:tr>
      <w:tr>
        <w:trPr>
          <w:cantSplit/>
        </w:trPr>
        <w:tc>
          <w:tcPr>
            <w:tcW w:type="dxa" w:w="382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IEC 61800-5-1:2022 low-voltage PDS (</w:t>
            </w:r>
            <w:hyperlink w:history="1" r:id="rIdoc4ttyhdbreb299ksrcgj">
              <w:r>
                <w:rPr>
                  <w:b/>
                  <w:bCs/>
                  <w:color w:val="0563C1"/>
                  <w:sz w:val="16"/>
                  <w:szCs w:val="16"/>
                  <w:u w:val="single"/>
                </w:rPr>
                <w:t xml:space="preserve">preview</w:t>
              </w:r>
            </w:hyperlink>
            <w:r>
              <w:rPr>
                <w:b/>
                <w:bCs/>
                <w:sz w:val="16"/>
                <w:szCs w:val="16"/>
              </w:rPr>
              <w:t xml:space="preserve">)</w:t>
            </w:r>
          </w:p>
        </w:tc>
        <w:tc>
          <w:tcPr>
            <w:tcW w:type="dxa" w:w="190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≤1.5 kV DC; traction and EV modules out of scope</w:t>
            </w:r>
          </w:p>
        </w:tc>
        <w:tc>
          <w:tcPr>
            <w:tcW w:type="dxa" w:w="133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Out of scope in EVs, within scope in industry</w:t>
            </w:r>
          </w:p>
        </w:tc>
        <w:tc>
          <w:tcPr>
            <w:tcW w:type="dxa" w:w="13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Out of scope in EVs, within scope in industry</w:t>
            </w:r>
          </w:p>
        </w:tc>
        <w:tc>
          <w:tcPr>
            <w:tcW w:type="dxa" w:w="125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Above the low-voltage limit</w:t>
            </w:r>
          </w:p>
        </w:tc>
      </w:tr>
      <w:tr>
        <w:trPr>
          <w:cantSplit/>
        </w:trPr>
        <w:tc>
          <w:tcPr>
            <w:tcW w:type="dxa" w:w="3826"/>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1500 V DC rail, EN 50163/IEC 60850 (</w:t>
            </w:r>
            <w:hyperlink w:history="1" r:id="rIdztctxlzrtdhj16jzkaerc">
              <w:r>
                <w:rPr>
                  <w:b/>
                  <w:bCs/>
                  <w:color w:val="0563C1"/>
                  <w:sz w:val="16"/>
                  <w:szCs w:val="16"/>
                  <w:u w:val="single"/>
                </w:rPr>
                <w:t xml:space="preserve">table</w:t>
              </w:r>
            </w:hyperlink>
            <w:r>
              <w:rPr>
                <w:b/>
                <w:bCs/>
                <w:sz w:val="16"/>
                <w:szCs w:val="16"/>
              </w:rPr>
              <w:t xml:space="preserve">)</w:t>
            </w:r>
          </w:p>
        </w:tc>
        <w:tc>
          <w:tcPr>
            <w:tcW w:type="dxa" w:w="190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1000–1800 V continuous, 1950 V temporary</w:t>
            </w:r>
          </w:p>
        </w:tc>
        <w:tc>
          <w:tcPr>
            <w:tcW w:type="dxa" w:w="133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w:t>
            </w:r>
          </w:p>
        </w:tc>
        <w:tc>
          <w:tcPr>
            <w:tcW w:type="dxa" w:w="13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w:t>
            </w:r>
          </w:p>
        </w:tc>
        <w:tc>
          <w:tcPr>
            <w:tcW w:type="dxa" w:w="125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Equivalent class</w:t>
            </w:r>
          </w:p>
        </w:tc>
      </w:tr>
      <w:tr>
        <w:trPr>
          <w:cantSplit/>
        </w:trPr>
        <w:tc>
          <w:tcPr>
            <w:tcW w:type="dxa" w:w="3826"/>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Maximum bus voltage proposed in the study (inference)</w:t>
            </w:r>
          </w:p>
        </w:tc>
        <w:tc>
          <w:tcPr>
            <w:tcW w:type="dxa" w:w="190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w:t>
            </w:r>
          </w:p>
        </w:tc>
        <w:tc>
          <w:tcPr>
            <w:tcW w:type="dxa" w:w="133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900–1000 V</w:t>
            </w:r>
          </w:p>
        </w:tc>
        <w:tc>
          <w:tcPr>
            <w:tcW w:type="dxa" w:w="13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≈1350 V</w:t>
            </w:r>
          </w:p>
        </w:tc>
        <w:tc>
          <w:tcPr>
            <w:tcW w:type="dxa" w:w="125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≈1800 V (temporary 1950 V)</w:t>
            </w:r>
          </w:p>
        </w:tc>
      </w:tr>
    </w:tbl>
    <w:p>
      <w:pPr>
        <w:spacing w:after="120" w:before="0"/>
      </w:pPr>
    </w:p>
    <w:p>
      <w:r>
        <w:rPr>
          <w:sz w:val="20"/>
          <w:szCs w:val="20"/>
        </w:rPr>
        <w:t xml:space="preserve">The classes also have different real-world counterparts. 800 V is the reference for passenger-car hairpin motors; Stuttgart's hairpin-slot study used ~100 µm Grade 3 PAI wire rated "for 800 V" (</w:t>
      </w:r>
      <w:hyperlink w:history="1" r:id="rId5amn8c6lmpncgayyjnezu">
        <w:r>
          <w:rPr>
            <w:color w:val="0563C1"/>
            <w:sz w:val="20"/>
            <w:szCs w:val="20"/>
            <w:u w:val="single"/>
          </w:rPr>
          <w:t xml:space="preserve">He et al. 2025</w:t>
        </w:r>
      </w:hyperlink>
      <w:r>
        <w:rPr>
          <w:sz w:val="20"/>
          <w:szCs w:val="20"/>
        </w:rPr>
        <w:t xml:space="preserve">). The platform BYD introduced in March 2025 reports a "full-domain 1000 V" architecture, SiC chips rated up to 1500 V and a single-motor power of 580 kW (</w:t>
      </w:r>
      <w:hyperlink w:history="1" r:id="rIdgpmbovqsi0dr57nvpzsef">
        <w:r>
          <w:rPr>
            <w:color w:val="0563C1"/>
            <w:sz w:val="20"/>
            <w:szCs w:val="20"/>
            <w:u w:val="single"/>
          </w:rPr>
          <w:t xml:space="preserve">BYD</w:t>
        </w:r>
      </w:hyperlink>
      <w:r>
        <w:rPr>
          <w:sz w:val="20"/>
          <w:szCs w:val="20"/>
        </w:rPr>
        <w:t xml:space="preserve">). The megawatt charging system for heavy vehicles tops out at 1250 V DC (</w:t>
      </w:r>
      <w:hyperlink w:history="1" r:id="rIdf0dbntp7allepnnjzgdhz">
        <w:r>
          <w:rPr>
            <w:color w:val="0563C1"/>
            <w:sz w:val="20"/>
            <w:szCs w:val="20"/>
            <w:u w:val="single"/>
          </w:rPr>
          <w:t xml:space="preserve">ANL MCS FAQ</w:t>
        </w:r>
      </w:hyperlink>
      <w:r>
        <w:rPr>
          <w:sz w:val="20"/>
          <w:szCs w:val="20"/>
        </w:rPr>
        <w:t xml:space="preserve">), or at 1500 V DC according to one source (</w:t>
      </w:r>
      <w:hyperlink w:history="1" r:id="rIdjnijggqqox-jz7wkfrivc">
        <w:r>
          <w:rPr>
            <w:color w:val="0563C1"/>
            <w:sz w:val="20"/>
            <w:szCs w:val="20"/>
            <w:u w:val="single"/>
          </w:rPr>
          <w:t xml:space="preserve">eMobility Engineering</w:t>
        </w:r>
      </w:hyperlink>
      <w:r>
        <w:rPr>
          <w:sz w:val="20"/>
          <w:szCs w:val="20"/>
        </w:rPr>
        <w:t xml:space="preserve">). A DC bus of 1800–2100 V is reported for mining trucks (search snippet only; </w:t>
      </w:r>
      <w:hyperlink w:history="1" r:id="rId2r_gbtodqvchrhbru-nff">
        <w:r>
          <w:rPr>
            <w:color w:val="0563C1"/>
            <w:sz w:val="20"/>
            <w:szCs w:val="20"/>
            <w:u w:val="single"/>
          </w:rPr>
          <w:t xml:space="preserve">US 8847524</w:t>
        </w:r>
      </w:hyperlink>
      <w:r>
        <w:rPr>
          <w:sz w:val="20"/>
          <w:szCs w:val="20"/>
        </w:rPr>
        <w:t xml:space="preserve">), and 2300 V SiC modules are marketed for 1500 V DC buses (</w:t>
      </w:r>
      <w:hyperlink w:history="1" r:id="rIdpcqxleuctkpssrwyuu2fq">
        <w:r>
          <w:rPr>
            <w:color w:val="0563C1"/>
            <w:sz w:val="20"/>
            <w:szCs w:val="20"/>
            <w:u w:val="single"/>
          </w:rPr>
          <w:t xml:space="preserve">Wolfspeed</w:t>
        </w:r>
      </w:hyperlink>
      <w:r>
        <w:rPr>
          <w:sz w:val="20"/>
          <w:szCs w:val="20"/>
        </w:rPr>
        <w:t xml:space="preserve">). No verified road-vehicle traction motor using a nominal 1200 or 1600 V bus could be found. Defining 1200 V in the study as representative of heavy commercial and next-generation passenger vehicles, and 1600 V as representative of the rail, mining and industrial "1500 V class", is therefore consistent (inference). Because 1600 V has no counterpart in any automotive document, its test levels should be justified from the enhancement factor chain or from IEC 60349-2, which covers inverter-fed motors of rail and road vehicles; the dielectric test values of this document could not be read in the preview (</w:t>
      </w:r>
      <w:hyperlink w:history="1" r:id="rId53qjldvxwwtwhg9smbzlg">
        <w:r>
          <w:rPr>
            <w:color w:val="0563C1"/>
            <w:sz w:val="20"/>
            <w:szCs w:val="20"/>
            <w:u w:val="single"/>
          </w:rPr>
          <w:t xml:space="preserve">IEC 60349-2 preview</w:t>
        </w:r>
      </w:hyperlink>
      <w:r>
        <w:rPr>
          <w:sz w:val="20"/>
          <w:szCs w:val="20"/>
        </w:rPr>
        <w:t xml:space="preserve">).</w:t>
      </w:r>
    </w:p>
    <w:p>
      <w:r>
        <w:rPr>
          <w:sz w:val="20"/>
          <w:szCs w:val="20"/>
        </w:rPr>
        <w:t xml:space="preserve">The classes also change the production tests. With an equivalent line voltage of Udc/1.35, the formula of AMD1 Table D.1 puts the 1-minute AC withstand test at </w:t>
      </w:r>
      <w:r>
        <w:rPr>
          <w:b/>
          <w:bCs/>
          <w:sz w:val="20"/>
          <w:szCs w:val="20"/>
        </w:rPr>
        <w:t xml:space="preserve">2.19, 2.78 and 3.37 kV rms</w:t>
      </w:r>
      <w:r>
        <w:rPr>
          <w:sz w:val="20"/>
          <w:szCs w:val="20"/>
        </w:rPr>
        <w:t xml:space="preserve"> for the line-fed equivalent and at 2.97, 3.95 and 4.94 kV rms in IVIC class D; the more conservative 2·U + 1000 V rule, based on the maximum DC operating voltage, gives 2.8, 3.7 and 4.6 kV rms (calculation; </w:t>
      </w:r>
      <w:hyperlink w:history="1" r:id="rIdio_wwy-utntdtfz0cw31z">
        <w:r>
          <w:rPr>
            <w:color w:val="0563C1"/>
            <w:sz w:val="20"/>
            <w:szCs w:val="20"/>
            <w:u w:val="single"/>
          </w:rPr>
          <w:t xml:space="preserve">AMD1:2019</w:t>
        </w:r>
      </w:hyperlink>
      <w:r>
        <w:rPr>
          <w:sz w:val="20"/>
          <w:szCs w:val="20"/>
        </w:rPr>
        <w:t xml:space="preserve">; </w:t>
      </w:r>
      <w:hyperlink w:history="1" r:id="rIdkdnvmblrpgh9omcak7pa7">
        <w:r>
          <w:rPr>
            <w:color w:val="0563C1"/>
            <w:sz w:val="20"/>
            <w:szCs w:val="20"/>
            <w:u w:val="single"/>
          </w:rPr>
          <w:t xml:space="preserve">Table D.1, normsplash sample</w:t>
        </w:r>
      </w:hyperlink>
      <w:r>
        <w:rPr>
          <w:sz w:val="20"/>
          <w:szCs w:val="20"/>
        </w:rPr>
        <w:t xml:space="preserve">). Because the equivalent U_N exceeds 1 kV at 1600 V, the "1 s, 120%" shortcut allowed in place of the 1-minute test for machines of ≤200 kW no longer applies (calculation). In new energy vehicle practice in China, model coils and stators are required to have an insulation resistance of ≥20 MΩ and, after aging, a PDIV/RPDIV of ≥50% of the initial value (</w:t>
      </w:r>
      <w:hyperlink w:history="1" r:id="rId23z491khcw6snqak51j6m">
        <w:r>
          <w:rPr>
            <w:color w:val="0563C1"/>
            <w:sz w:val="20"/>
            <w:szCs w:val="20"/>
            <w:u w:val="single"/>
          </w:rPr>
          <w:t xml:space="preserve">SEARI 2025, SMM</w:t>
        </w:r>
      </w:hyperlink>
      <w:r>
        <w:rPr>
          <w:sz w:val="20"/>
          <w:szCs w:val="20"/>
        </w:rPr>
        <w:t xml:space="preserve">). These tests are meant for formettes or complete windings; because of their pass-fail nature and the risk of damage, they should not be used as aging diagnostics (inference).</w:t>
      </w:r>
    </w:p>
    <w:p>
      <w:pPr>
        <w:pStyle w:val="Heading2"/>
      </w:pPr>
      <w:bookmarkStart w:name="_TocH004" w:id="5"/>
      <w:r>
        <w:t xml:space="preserve">For the same bus voltage, the target varies by more than a factor of two depending on the framework</w:t>
      </w:r>
      <w:bookmarkEnd w:id="5"/>
    </w:p>
    <w:p>
      <w:r>
        <w:rPr>
          <w:sz w:val="20"/>
          <w:szCs w:val="20"/>
        </w:rPr>
        <w:t xml:space="preserve">The PD-free target is obtained by multiplying the operating stress by enhancement factors: </w:t>
      </w:r>
      <w:r>
        <w:rPr>
          <w:b/>
          <w:bCs/>
          <w:sz w:val="20"/>
          <w:szCs w:val="20"/>
        </w:rPr>
        <w:t xml:space="preserve">Vc = Udc·OF·WF·EF_PD·EF_T·EF_age</w:t>
      </w:r>
      <w:r>
        <w:rPr>
          <w:sz w:val="20"/>
          <w:szCs w:val="20"/>
        </w:rPr>
        <w:t xml:space="preserve">. EF_PD = 1.25 (the PD extinction voltage is lower than the inception voltage), EF_T = 1.3 (T/T, P/P) or 1.1 (P/G); EF_age is max(1; 1.2·Ts/Tc) in verification and 1 for a genuinely aged specimen (</w:t>
      </w:r>
      <w:hyperlink w:history="1" r:id="rIdukmnahc_ekpodfuu17nbw">
        <w:r>
          <w:rPr>
            <w:color w:val="0563C1"/>
            <w:sz w:val="20"/>
            <w:szCs w:val="20"/>
            <w:u w:val="single"/>
          </w:rPr>
          <w:t xml:space="preserve">Lusuardi et al. 2021</w:t>
        </w:r>
      </w:hyperlink>
      <w:r>
        <w:rPr>
          <w:sz w:val="20"/>
          <w:szCs w:val="20"/>
        </w:rPr>
        <w:t xml:space="preserve">). HEFT, in contrast, uses the OF measured for the hairpin and the ρ obtained with finite elements, sets PD hysteresis to 1 because it works with the maximum bus voltage, and applies no EF_T in its measurement at 180 °C; the equations were chosen in agreement with the project leader of the IEC 60034-18-41 2nd edition (</w:t>
      </w:r>
      <w:hyperlink w:history="1" r:id="rIdgayricnhzl2ja2lcvquzh">
        <w:r>
          <w:rPr>
            <w:color w:val="0563C1"/>
            <w:sz w:val="20"/>
            <w:szCs w:val="20"/>
            <w:u w:val="single"/>
          </w:rPr>
          <w:t xml:space="preserve">HEFT D2.4</w:t>
        </w:r>
      </w:hyperlink>
      <w:r>
        <w:rPr>
          <w:sz w:val="20"/>
          <w:szCs w:val="20"/>
        </w:rPr>
        <w:t xml:space="preserve">). Table 2 gives four rows for each path: the operating stress as the physical reference; HEFT as the hairpin-specific minimum; the IEC hot-aged chain, to be compared directly with the "age in oil, remeasure hot" step (EF_T = 1, EF_age = 1, based on HEFT's practice); and the IEC verification chain, to be compared with the dry baseline measurement at room temperature.</w:t>
      </w:r>
    </w:p>
    <w:p>
      <w:r>
        <w:rPr>
          <w:b/>
          <w:bCs/>
          <w:sz w:val="20"/>
          <w:szCs w:val="20"/>
        </w:rPr>
        <w:t xml:space="preserve">Table 2. Operating stress and PD-free targets per path (kVpp; two-level inverter; calculation)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43"/>
        <w:gridCol w:w="1441"/>
        <w:gridCol w:w="1464"/>
        <w:gridCol w:w="1490"/>
      </w:tblGrid>
      <w:tr>
        <w:trPr>
          <w:cantSplit/>
          <w:tblHeader/>
        </w:trPr>
        <w:tc>
          <w:tcPr>
            <w:tcW w:type="dxa" w:w="5243"/>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Path and framework</w:t>
            </w:r>
          </w:p>
        </w:tc>
        <w:tc>
          <w:tcPr>
            <w:tcW w:type="dxa" w:w="1441"/>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800 V</w:t>
            </w:r>
          </w:p>
        </w:tc>
        <w:tc>
          <w:tcPr>
            <w:tcW w:type="dxa" w:w="146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1200 V</w:t>
            </w:r>
          </w:p>
        </w:tc>
        <w:tc>
          <w:tcPr>
            <w:tcW w:type="dxa" w:w="149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1600 V</w:t>
            </w:r>
          </w:p>
        </w:tc>
      </w:tr>
      <w:tr>
        <w:trPr>
          <w:cantSplit/>
        </w:trPr>
        <w:tc>
          <w:tcPr>
            <w:tcW w:type="dxa" w:w="52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P/P</w:t>
            </w:r>
            <w:r>
              <w:rPr>
                <w:b/>
                <w:bCs/>
                <w:sz w:val="16"/>
                <w:szCs w:val="16"/>
              </w:rPr>
              <w:t xml:space="preserve"> operating stress, OF 1.2–1.5</w:t>
            </w:r>
          </w:p>
        </w:tc>
        <w:tc>
          <w:tcPr>
            <w:tcW w:type="dxa" w:w="144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1.92–2.40</w:t>
            </w:r>
          </w:p>
        </w:tc>
        <w:tc>
          <w:tcPr>
            <w:tcW w:type="dxa" w:w="1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2.88–3.60</w:t>
            </w:r>
          </w:p>
        </w:tc>
        <w:tc>
          <w:tcPr>
            <w:tcW w:type="dxa" w:w="14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3.84–4.80</w:t>
            </w:r>
          </w:p>
        </w:tc>
      </w:tr>
      <w:tr>
        <w:trPr>
          <w:cantSplit/>
        </w:trPr>
        <w:tc>
          <w:tcPr>
            <w:tcW w:type="dxa" w:w="52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P/P, HEFT, hot, OF 1.2</w:t>
            </w:r>
          </w:p>
        </w:tc>
        <w:tc>
          <w:tcPr>
            <w:tcW w:type="dxa" w:w="144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1.92</w:t>
            </w:r>
          </w:p>
        </w:tc>
        <w:tc>
          <w:tcPr>
            <w:tcW w:type="dxa" w:w="1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2.88</w:t>
            </w:r>
          </w:p>
        </w:tc>
        <w:tc>
          <w:tcPr>
            <w:tcW w:type="dxa" w:w="14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3.84*</w:t>
            </w:r>
          </w:p>
        </w:tc>
      </w:tr>
      <w:tr>
        <w:trPr>
          <w:cantSplit/>
        </w:trPr>
        <w:tc>
          <w:tcPr>
            <w:tcW w:type="dxa" w:w="52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P/P, IEC hot-aged (EF_PD 1.25)</w:t>
            </w:r>
          </w:p>
        </w:tc>
        <w:tc>
          <w:tcPr>
            <w:tcW w:type="dxa" w:w="144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2.40–3.00</w:t>
            </w:r>
          </w:p>
        </w:tc>
        <w:tc>
          <w:tcPr>
            <w:tcW w:type="dxa" w:w="1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3.60–4.50</w:t>
            </w:r>
          </w:p>
        </w:tc>
        <w:tc>
          <w:tcPr>
            <w:tcW w:type="dxa" w:w="14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4.80–6.00</w:t>
            </w:r>
          </w:p>
        </w:tc>
      </w:tr>
      <w:tr>
        <w:trPr>
          <w:cantSplit/>
        </w:trPr>
        <w:tc>
          <w:tcPr>
            <w:tcW w:type="dxa" w:w="52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P/P, IEC room temperature, new specimen</w:t>
            </w:r>
          </w:p>
        </w:tc>
        <w:tc>
          <w:tcPr>
            <w:tcW w:type="dxa" w:w="144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3.74–4.68</w:t>
            </w:r>
          </w:p>
        </w:tc>
        <w:tc>
          <w:tcPr>
            <w:tcW w:type="dxa" w:w="1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5.62–7.02</w:t>
            </w:r>
          </w:p>
        </w:tc>
        <w:tc>
          <w:tcPr>
            <w:tcW w:type="dxa" w:w="14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7.49–9.36</w:t>
            </w:r>
          </w:p>
        </w:tc>
      </w:tr>
      <w:tr>
        <w:trPr>
          <w:cantSplit/>
        </w:trPr>
        <w:tc>
          <w:tcPr>
            <w:tcW w:type="dxa" w:w="52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P/G</w:t>
            </w:r>
            <w:r>
              <w:rPr>
                <w:b/>
                <w:bCs/>
                <w:sz w:val="16"/>
                <w:szCs w:val="16"/>
              </w:rPr>
              <w:t xml:space="preserve"> operating stress, OF 1.2–1.5</w:t>
            </w:r>
          </w:p>
        </w:tc>
        <w:tc>
          <w:tcPr>
            <w:tcW w:type="dxa" w:w="144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1.34–1.68</w:t>
            </w:r>
          </w:p>
        </w:tc>
        <w:tc>
          <w:tcPr>
            <w:tcW w:type="dxa" w:w="1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2.02–2.52</w:t>
            </w:r>
          </w:p>
        </w:tc>
        <w:tc>
          <w:tcPr>
            <w:tcW w:type="dxa" w:w="14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2.69–3.36</w:t>
            </w:r>
          </w:p>
        </w:tc>
      </w:tr>
      <w:tr>
        <w:trPr>
          <w:cantSplit/>
        </w:trPr>
        <w:tc>
          <w:tcPr>
            <w:tcW w:type="dxa" w:w="52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P/G, HEFT, hot</w:t>
            </w:r>
          </w:p>
        </w:tc>
        <w:tc>
          <w:tcPr>
            <w:tcW w:type="dxa" w:w="144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1.12</w:t>
            </w:r>
          </w:p>
        </w:tc>
        <w:tc>
          <w:tcPr>
            <w:tcW w:type="dxa" w:w="1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1.68</w:t>
            </w:r>
          </w:p>
        </w:tc>
        <w:tc>
          <w:tcPr>
            <w:tcW w:type="dxa" w:w="14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2.24*</w:t>
            </w:r>
          </w:p>
        </w:tc>
      </w:tr>
      <w:tr>
        <w:trPr>
          <w:cantSplit/>
        </w:trPr>
        <w:tc>
          <w:tcPr>
            <w:tcW w:type="dxa" w:w="52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P/G, IEC hot-aged</w:t>
            </w:r>
          </w:p>
        </w:tc>
        <w:tc>
          <w:tcPr>
            <w:tcW w:type="dxa" w:w="144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1.68–2.10</w:t>
            </w:r>
          </w:p>
        </w:tc>
        <w:tc>
          <w:tcPr>
            <w:tcW w:type="dxa" w:w="1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2.52–3.15</w:t>
            </w:r>
          </w:p>
        </w:tc>
        <w:tc>
          <w:tcPr>
            <w:tcW w:type="dxa" w:w="14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3.36–4.20</w:t>
            </w:r>
          </w:p>
        </w:tc>
      </w:tr>
      <w:tr>
        <w:trPr>
          <w:cantSplit/>
        </w:trPr>
        <w:tc>
          <w:tcPr>
            <w:tcW w:type="dxa" w:w="52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P/G, IEC room temperature, new specimen</w:t>
            </w:r>
          </w:p>
        </w:tc>
        <w:tc>
          <w:tcPr>
            <w:tcW w:type="dxa" w:w="144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2.22–2.77</w:t>
            </w:r>
          </w:p>
        </w:tc>
        <w:tc>
          <w:tcPr>
            <w:tcW w:type="dxa" w:w="1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3.33–4.16</w:t>
            </w:r>
          </w:p>
        </w:tc>
        <w:tc>
          <w:tcPr>
            <w:tcW w:type="dxa" w:w="14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4.44–5.54</w:t>
            </w:r>
          </w:p>
        </w:tc>
      </w:tr>
      <w:tr>
        <w:trPr>
          <w:cantSplit/>
        </w:trPr>
        <w:tc>
          <w:tcPr>
            <w:tcW w:type="dxa" w:w="52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T/T</w:t>
            </w:r>
            <w:r>
              <w:rPr>
                <w:b/>
                <w:bCs/>
                <w:sz w:val="16"/>
                <w:szCs w:val="16"/>
              </w:rPr>
              <w:t xml:space="preserve"> operating stress, WF 0.7 / measured worst case 1.47 p.u.</w:t>
            </w:r>
          </w:p>
        </w:tc>
        <w:tc>
          <w:tcPr>
            <w:tcW w:type="dxa" w:w="144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0.67–0.84 / 1.18</w:t>
            </w:r>
          </w:p>
        </w:tc>
        <w:tc>
          <w:tcPr>
            <w:tcW w:type="dxa" w:w="1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1.01–1.26 / 1.76</w:t>
            </w:r>
          </w:p>
        </w:tc>
        <w:tc>
          <w:tcPr>
            <w:tcW w:type="dxa" w:w="14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1.34–1.68 / 2.35</w:t>
            </w:r>
          </w:p>
        </w:tc>
      </w:tr>
      <w:tr>
        <w:trPr>
          <w:cantSplit/>
        </w:trPr>
        <w:tc>
          <w:tcPr>
            <w:tcW w:type="dxa" w:w="52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T/T, HEFT, sequential hairpin, ρ 0.19–0.3</w:t>
            </w:r>
          </w:p>
        </w:tc>
        <w:tc>
          <w:tcPr>
            <w:tcW w:type="dxa" w:w="144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0.24–0.38</w:t>
            </w:r>
          </w:p>
        </w:tc>
        <w:tc>
          <w:tcPr>
            <w:tcW w:type="dxa" w:w="1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0.36–0.58</w:t>
            </w:r>
          </w:p>
        </w:tc>
        <w:tc>
          <w:tcPr>
            <w:tcW w:type="dxa" w:w="14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0.49–0.77*</w:t>
            </w:r>
          </w:p>
        </w:tc>
      </w:tr>
      <w:tr>
        <w:trPr>
          <w:cantSplit/>
        </w:trPr>
        <w:tc>
          <w:tcPr>
            <w:tcW w:type="dxa" w:w="524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T/T, IEC hot-aged, WF 0.7</w:t>
            </w:r>
          </w:p>
        </w:tc>
        <w:tc>
          <w:tcPr>
            <w:tcW w:type="dxa" w:w="144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0.84–1.05</w:t>
            </w:r>
          </w:p>
        </w:tc>
        <w:tc>
          <w:tcPr>
            <w:tcW w:type="dxa" w:w="146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1.26–1.58</w:t>
            </w:r>
          </w:p>
        </w:tc>
        <w:tc>
          <w:tcPr>
            <w:tcW w:type="dxa" w:w="149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1.68–2.10</w:t>
            </w:r>
          </w:p>
        </w:tc>
      </w:tr>
      <w:tr>
        <w:trPr>
          <w:cantSplit/>
        </w:trPr>
        <w:tc>
          <w:tcPr>
            <w:tcW w:type="dxa" w:w="524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T/T, IEC room temperature, new (WF 0.7 / worst case)</w:t>
            </w:r>
          </w:p>
        </w:tc>
        <w:tc>
          <w:tcPr>
            <w:tcW w:type="dxa" w:w="144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1.31–1.64 / 2.29</w:t>
            </w:r>
          </w:p>
        </w:tc>
        <w:tc>
          <w:tcPr>
            <w:tcW w:type="dxa" w:w="146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1.97–2.46 / 3.44</w:t>
            </w:r>
          </w:p>
        </w:tc>
        <w:tc>
          <w:tcPr>
            <w:tcW w:type="dxa" w:w="149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2.62–3.28 / 4.59</w:t>
            </w:r>
          </w:p>
        </w:tc>
      </w:tr>
    </w:tbl>
    <w:p>
      <w:pPr>
        <w:spacing w:after="120" w:before="0"/>
      </w:pPr>
    </w:p>
    <w:p>
      <w:r>
        <w:rPr>
          <w:i/>
          <w:iCs/>
          <w:color w:val="595959"/>
          <w:sz w:val="18"/>
          <w:szCs w:val="18"/>
        </w:rPr>
        <w:t xml:space="preserve">HEFT's 800 and 1200 V values are published (</w:t>
      </w:r>
      <w:hyperlink w:history="1" r:id="rIdtpngaudqdapfiglm6wa14">
        <w:r>
          <w:rPr>
            <w:i/>
            <w:iCs/>
            <w:color w:val="0563C1"/>
            <w:sz w:val="18"/>
            <w:szCs w:val="18"/>
            <w:u w:val="single"/>
          </w:rPr>
          <w:t xml:space="preserve">HEFT D2.4</w:t>
        </w:r>
      </w:hyperlink>
      <w:r>
        <w:rPr>
          <w:i/>
          <w:iCs/>
          <w:color w:val="595959"/>
          <w:sz w:val="18"/>
          <w:szCs w:val="18"/>
        </w:rPr>
        <w:t xml:space="preserve">); the 1600 V values are extrapolated with the same formula. The IEC room-temperature rows include EF_T 1.3 (P/G 1.1) and EF_age 1.2; formulas from </w:t>
      </w:r>
      <w:hyperlink w:history="1" r:id="rId5jec8lj5pb4hghmypj5na">
        <w:r>
          <w:rPr>
            <w:i/>
            <w:iCs/>
            <w:color w:val="0563C1"/>
            <w:sz w:val="18"/>
            <w:szCs w:val="18"/>
            <w:u w:val="single"/>
          </w:rPr>
          <w:t xml:space="preserve">Lusuardi et al. 2021</w:t>
        </w:r>
      </w:hyperlink>
      <w:r>
        <w:rPr>
          <w:i/>
          <w:iCs/>
          <w:color w:val="595959"/>
          <w:sz w:val="18"/>
          <w:szCs w:val="18"/>
        </w:rPr>
        <w:t xml:space="preserve">.</w:t>
      </w:r>
    </w:p>
    <w:p>
      <w:r>
        <w:rPr>
          <w:sz w:val="20"/>
          <w:szCs w:val="20"/>
        </w:rPr>
        <w:t xml:space="preserve">The choice of framework changes the verdict. The same 110 µm PAI data (mean − 3σ ≈ 2164 Vpp at 180 °C) support a bus of ≈900 V for P/P in the HEFT framework, but a bus of ≈720 V in the IEC hot-aged chain, which includes EF_PD (calculation; data from </w:t>
      </w:r>
      <w:hyperlink w:history="1" r:id="rIdhn38tckzc1mkymht0pjwl">
        <w:r>
          <w:rPr>
            <w:color w:val="0563C1"/>
            <w:sz w:val="20"/>
            <w:szCs w:val="20"/>
            <w:u w:val="single"/>
          </w:rPr>
          <w:t xml:space="preserve">HEFT D2.4</w:t>
        </w:r>
      </w:hyperlink>
      <w:r>
        <w:rPr>
          <w:sz w:val="20"/>
          <w:szCs w:val="20"/>
        </w:rPr>
        <w:t xml:space="preserve">). The P/P target for 1600 V is 3.84 in HEFT, 4.8–6.0 in the IEC hot-aged chain and 7.5–9.4 kVpp in new-specimen verification at room temperature. Compared with OF 1.5, cable-fed SiC (OF 2.0) adds one third to the targets, and the maximum bus voltage (×1.125) adds 12.5%. The standard allows an additional factor for humidity and altitude but gives no numerical value (</w:t>
      </w:r>
      <w:hyperlink w:history="1" r:id="rIddsyxamdcpzl_02mbheztw">
        <w:r>
          <w:rPr>
            <w:color w:val="0563C1"/>
            <w:sz w:val="20"/>
            <w:szCs w:val="20"/>
            <w:u w:val="single"/>
          </w:rPr>
          <w:t xml:space="preserve">AMD1:2019</w:t>
        </w:r>
      </w:hyperlink>
      <w:r>
        <w:rPr>
          <w:sz w:val="20"/>
          <w:szCs w:val="20"/>
        </w:rPr>
        <w:t xml:space="preserve">); for vehicles that go up to 5500 m, a pressure factor of 1.25 at 500 mbar has been proposed (</w:t>
      </w:r>
      <w:hyperlink w:history="1" r:id="rId2cvqs5ovigsgqjgnab9zf">
        <w:r>
          <w:rPr>
            <w:color w:val="0563C1"/>
            <w:sz w:val="20"/>
            <w:szCs w:val="20"/>
            <w:u w:val="single"/>
          </w:rPr>
          <w:t xml:space="preserve">Ji et al. 2024 review</w:t>
        </w:r>
      </w:hyperlink>
      <w:r>
        <w:rPr>
          <w:sz w:val="20"/>
          <w:szCs w:val="20"/>
        </w:rPr>
        <w:t xml:space="preserve">). The most defensible approach is to evaluate every specimen in both frameworks and, once the drive's measured OF and the T/T share from the winding scheme are known, to substitute them for the defaults (inference).</w:t>
      </w:r>
    </w:p>
    <w:p>
      <w:pPr>
        <w:pStyle w:val="Heading1"/>
      </w:pPr>
      <w:bookmarkStart w:name="_TocH005" w:id="6"/>
      <w:r>
        <w:t xml:space="preserve">Thick enamel and tape are enough for 800 V, but no wire is enough for 1600 V</w:t>
      </w:r>
      <w:bookmarkEnd w:id="6"/>
    </w:p>
    <w:p>
      <w:pPr>
        <w:pStyle w:val="Heading2"/>
      </w:pPr>
      <w:bookmarkStart w:name="_TocH006" w:id="7"/>
      <w:r>
        <w:t xml:space="preserve">Doubling the voltage multiplies t/εr by four and a half</w:t>
      </w:r>
      <w:bookmarkEnd w:id="7"/>
    </w:p>
    <w:p>
      <w:r>
        <w:rPr>
          <w:sz w:val="20"/>
          <w:szCs w:val="20"/>
        </w:rPr>
        <w:t xml:space="preserve">PD inception is determined by the ratio of insulation thickness to dielectric constant (t/εr) and by the air wedge between the conductors. Dakin's empirical relation is PDIV_rms = 163·(d/εr)^0.46; Furukawa's tabulated values show that the relation takes d as the total insulation between the two conductors and gives an rms value (</w:t>
      </w:r>
      <w:hyperlink w:history="1" r:id="rId-dmmagr47urbpnwj6rtl6">
        <w:r>
          <w:rPr>
            <w:color w:val="0563C1"/>
            <w:sz w:val="20"/>
            <w:szCs w:val="20"/>
            <w:u w:val="single"/>
          </w:rPr>
          <w:t xml:space="preserve">Furukawa Review 45</w:t>
        </w:r>
      </w:hyperlink>
      <w:r>
        <w:rPr>
          <w:sz w:val="20"/>
          <w:szCs w:val="20"/>
        </w:rPr>
        <w:t xml:space="preserve">; calculation). Because the exponent is 0.46, </w:t>
      </w:r>
      <w:r>
        <w:rPr>
          <w:b/>
          <w:bCs/>
          <w:sz w:val="20"/>
          <w:szCs w:val="20"/>
        </w:rPr>
        <w:t xml:space="preserve">doubling the voltage requires raising t/εr about 4.5-fold</w:t>
      </w:r>
      <w:r>
        <w:rPr>
          <w:sz w:val="20"/>
          <w:szCs w:val="20"/>
        </w:rPr>
        <w:t xml:space="preserve">; relative to 800 V, 1600 V is a problem not of "twice the thickness" but of "four to five times the t/εr" (calculation). The best hairpin-specific data come from pairs of PI-FEP flat wires. With 250 and 350 µm of total insulation, the 50 Hz PDIV is 1.51 and 1.83 kVp at room temperature and 1.30 and 1.62 kVp at 180 °C; in kV and µm, the linear fit is PDIV_p = 0.0032·Dt + 0.71 (room temperature) and 0.0032·Dt + 0.5 (180 °C) (</w:t>
      </w:r>
      <w:hyperlink w:history="1" r:id="rIdhlprravemh9wdh2shmj2p">
        <w:r>
          <w:rPr>
            <w:color w:val="0563C1"/>
            <w:sz w:val="20"/>
            <w:szCs w:val="20"/>
            <w:u w:val="single"/>
          </w:rPr>
          <w:t xml:space="preserve">Gao et al. 2023</w:t>
        </w:r>
      </w:hyperlink>
      <w:r>
        <w:rPr>
          <w:sz w:val="20"/>
          <w:szCs w:val="20"/>
        </w:rPr>
        <w:t xml:space="preserve">). With these models, the insulation required to meet the IEC verification targets is, for T/T, ≤35–72 per wire at 800 V, ~40–163 at 1200 V and ~77–270 µm at 1600 V; for P/G, 230–380, 530–750 and 820–1120 µm in total; and for P/P, 290–410, 530–710 and 770–1010 µm in total. Anything above 350 µm lies outside the fit range and is therefore an extrapolation (calculation). Low εr is the lever that changes this picture the most: the thickness per wire needed for 2.0 kVp is ~192 µm at εr 3.5 and ~115 µm at εr 2.1 (calculation).</w:t>
      </w:r>
    </w:p>
    <w:p>
      <w:r>
        <w:rPr>
          <w:sz w:val="20"/>
          <w:szCs w:val="20"/>
        </w:rPr>
        <w:t xml:space="preserve">Published measurements are consistent with these calculations. In HEFT, rectangular conductors enameled with 110 µm PAI gave a back-to-back PDIV of </w:t>
      </w:r>
      <w:r>
        <w:rPr>
          <w:b/>
          <w:bCs/>
          <w:sz w:val="20"/>
          <w:szCs w:val="20"/>
        </w:rPr>
        <w:t xml:space="preserve">2215 ± 17 Vpp</w:t>
      </w:r>
      <w:r>
        <w:rPr>
          <w:sz w:val="20"/>
          <w:szCs w:val="20"/>
        </w:rPr>
        <w:t xml:space="preserve"> at 180 °C. For P/P at 800, 1000 and 1200 V, the mean − 3σ margin was +242, −238 and −718 Vpp, and for corona-resistant PAI +47, −433 and −913 Vpp; for P/G, the same wire gave +431, +151 and −129 Vpp. The authors wrote that 80 µm is "never guaranteed" at 800 V and that at 1000–1200 V no enamel "can be used reliably" (</w:t>
      </w:r>
      <w:hyperlink w:history="1" r:id="rIdk0ay2x991rkkslyeais_s">
        <w:r>
          <w:rPr>
            <w:color w:val="0563C1"/>
            <w:sz w:val="20"/>
            <w:szCs w:val="20"/>
            <w:u w:val="single"/>
          </w:rPr>
          <w:t xml:space="preserve">HEFT D2.4</w:t>
        </w:r>
      </w:hyperlink>
      <w:r>
        <w:rPr>
          <w:sz w:val="20"/>
          <w:szCs w:val="20"/>
        </w:rPr>
        <w:t xml:space="preserve">). The highest PDIV found for rectangular wire in this survey is 2.7 kV (patent data, with conditions and unit not stated; </w:t>
      </w:r>
      <w:hyperlink w:history="1" r:id="rIdhtpssydns2tkibeaofphp">
        <w:r>
          <w:rPr>
            <w:color w:val="0563C1"/>
            <w:sz w:val="20"/>
            <w:szCs w:val="20"/>
            <w:u w:val="single"/>
          </w:rPr>
          <w:t xml:space="preserve">US9324476B2</w:t>
        </w:r>
      </w:hyperlink>
      <w:r>
        <w:rPr>
          <w:sz w:val="20"/>
          <w:szCs w:val="20"/>
        </w:rPr>
        <w:t xml:space="preserve">), while the PDIV of thin enamel under bipolar 20 kHz, 45 kV/µs pulses stayed at 0.8–1.0 kV (</w:t>
      </w:r>
      <w:hyperlink w:history="1" r:id="rId6o5d7enrbh-hy750g0rji">
        <w:r>
          <w:rPr>
            <w:color w:val="0563C1"/>
            <w:sz w:val="20"/>
            <w:szCs w:val="20"/>
            <w:u w:val="single"/>
          </w:rPr>
          <w:t xml:space="preserve">Pauli et al. 2020</w:t>
        </w:r>
      </w:hyperlink>
      <w:r>
        <w:rPr>
          <w:sz w:val="20"/>
          <w:szCs w:val="20"/>
        </w:rPr>
        <w:t xml:space="preserve">). The same study also shows how much the waveform matters: on the same wire, the 50 Hz PDIV was 1192 V, the unipolar pulse RPDIV 2132 V and the bipolar fast-pulse PDIV 975 V. With corona-resistant enamel, this last value fell to 787 V; </w:t>
      </w:r>
      <w:r>
        <w:rPr>
          <w:b/>
          <w:bCs/>
          <w:sz w:val="20"/>
          <w:szCs w:val="20"/>
        </w:rPr>
        <w:t xml:space="preserve">corona resistance does not raise PDIV</w:t>
      </w:r>
      <w:r>
        <w:rPr>
          <w:sz w:val="20"/>
          <w:szCs w:val="20"/>
        </w:rPr>
        <w:t xml:space="preserve">, it only extends life after PD has started.</w:t>
      </w:r>
    </w:p>
    <w:p>
      <w:pPr>
        <w:pStyle w:val="Heading2"/>
      </w:pPr>
      <w:bookmarkStart w:name="_TocH007" w:id="8"/>
      <w:r>
        <w:t xml:space="preserve">Aging erodes the margin faster than IEC assumes</w:t>
      </w:r>
      <w:bookmarkEnd w:id="8"/>
    </w:p>
    <w:p>
      <w:r>
        <w:rPr>
          <w:sz w:val="20"/>
          <w:szCs w:val="20"/>
        </w:rPr>
        <w:t xml:space="preserve">The aging factor of 1.2 in the IEC chain corresponds to a PDIV loss of about 17%; the observed losses exceed this. Thermal aging alone gave PDIV losses of 24% in heavy-build PI twisted pairs after ~500 h at 270 °C (</w:t>
      </w:r>
      <w:hyperlink w:history="1" r:id="rId-ifybrco7xwsw3gmbnf2q">
        <w:r>
          <w:rPr>
            <w:color w:val="0563C1"/>
            <w:sz w:val="20"/>
            <w:szCs w:val="20"/>
            <w:u w:val="single"/>
          </w:rPr>
          <w:t xml:space="preserve">NASA NTRS 2024</w:t>
        </w:r>
      </w:hyperlink>
      <w:r>
        <w:rPr>
          <w:sz w:val="20"/>
          <w:szCs w:val="20"/>
        </w:rPr>
        <w:t xml:space="preserve">), 32% in PEEK and 42% in nano-filled enamel (</w:t>
      </w:r>
      <w:hyperlink w:history="1" r:id="rIdx00i419obmstvgotooie3">
        <w:r>
          <w:rPr>
            <w:color w:val="0563C1"/>
            <w:sz w:val="20"/>
            <w:szCs w:val="20"/>
            <w:u w:val="single"/>
          </w:rPr>
          <w:t xml:space="preserve">Khowja et al. 2024</w:t>
        </w:r>
      </w:hyperlink>
      <w:r>
        <w:rPr>
          <w:sz w:val="20"/>
          <w:szCs w:val="20"/>
        </w:rPr>
        <w:t xml:space="preserve">). In potted PI motorettes under thermo-mechanical cycling, the turn-to-turn PDIV fell from 1250 to 550 V rms (−56%) (</w:t>
      </w:r>
      <w:hyperlink w:history="1" r:id="rIdrmlz_esohp0ihexlmpaq2">
        <w:r>
          <w:rPr>
            <w:color w:val="0563C1"/>
            <w:sz w:val="20"/>
            <w:szCs w:val="20"/>
            <w:u w:val="single"/>
          </w:rPr>
          <w:t xml:space="preserve">NASA NTRS 2024</w:t>
        </w:r>
      </w:hyperlink>
      <w:r>
        <w:rPr>
          <w:sz w:val="20"/>
          <w:szCs w:val="20"/>
        </w:rPr>
        <w:t xml:space="preserve">). Humidity conditioning lowered the PDIV B10 of Kapton CR by 9% and raised its εr (</w:t>
      </w:r>
      <w:hyperlink w:history="1" r:id="rIdhz6xjinoh4clboavfu_it">
        <w:r>
          <w:rPr>
            <w:color w:val="0563C1"/>
            <w:sz w:val="20"/>
            <w:szCs w:val="20"/>
            <w:u w:val="single"/>
          </w:rPr>
          <w:t xml:space="preserve">Han and Cavallini 2020</w:t>
        </w:r>
      </w:hyperlink>
      <w:r>
        <w:rPr>
          <w:sz w:val="20"/>
          <w:szCs w:val="20"/>
        </w:rPr>
        <w:t xml:space="preserve">). In oil the picture is mixed: in Chalmers formettes, the PDIV of thick wires dropped by 35–40% after 1000 h in transmission oil at 150 °C (</w:t>
      </w:r>
      <w:hyperlink w:history="1" r:id="rId3s4mmwsey-ihqfzobwbq0">
        <w:r>
          <w:rPr>
            <w:color w:val="0563C1"/>
            <w:sz w:val="20"/>
            <w:szCs w:val="20"/>
            <w:u w:val="single"/>
          </w:rPr>
          <w:t xml:space="preserve">Chalmers TR 2025:1</w:t>
        </w:r>
      </w:hyperlink>
      <w:r>
        <w:rPr>
          <w:sz w:val="20"/>
          <w:szCs w:val="20"/>
        </w:rPr>
        <w:t xml:space="preserve">), whereas in HEFT it did not drop after two weeks in ATF at 160 °C (</w:t>
      </w:r>
      <w:hyperlink w:history="1" r:id="rIdfy7dmnon8vrpjifagofjh">
        <w:r>
          <w:rPr>
            <w:color w:val="0563C1"/>
            <w:sz w:val="20"/>
            <w:szCs w:val="20"/>
            <w:u w:val="single"/>
          </w:rPr>
          <w:t xml:space="preserve">HEFT D2.4</w:t>
        </w:r>
      </w:hyperlink>
      <w:r>
        <w:rPr>
          <w:sz w:val="20"/>
          <w:szCs w:val="20"/>
        </w:rPr>
        <w:t xml:space="preserve">). At 800 V, an insulation that is marginally PD-free when new may not stay PD-free after aging; at 1200–1600 V, the aging loss comes on top of a target that has already doubled.</w:t>
      </w:r>
    </w:p>
    <w:p>
      <w:r>
        <w:rPr>
          <w:sz w:val="20"/>
          <w:szCs w:val="20"/>
        </w:rPr>
        <w:t xml:space="preserve">Lifetime data explain why the effect of bus voltage shows threshold behavior. In random-wound stators aged with two-level SiC inverters at 230 °C, the lifetime was </w:t>
      </w:r>
      <w:r>
        <w:rPr>
          <w:b/>
          <w:bCs/>
          <w:sz w:val="20"/>
          <w:szCs w:val="20"/>
        </w:rPr>
        <w:t xml:space="preserve">802 h</w:t>
      </w:r>
      <w:r>
        <w:rPr>
          <w:sz w:val="20"/>
          <w:szCs w:val="20"/>
        </w:rPr>
        <w:t xml:space="preserve"> for the 600 V sample, in which no PD was seen, 54–403 h at 800 V and </w:t>
      </w:r>
      <w:r>
        <w:rPr>
          <w:b/>
          <w:bCs/>
          <w:sz w:val="20"/>
          <w:szCs w:val="20"/>
        </w:rPr>
        <w:t xml:space="preserve">1.1–8.4 h</w:t>
      </w:r>
      <w:r>
        <w:rPr>
          <w:sz w:val="20"/>
          <w:szCs w:val="20"/>
        </w:rPr>
        <w:t xml:space="preserve"> at 1000 V. PD was observed in about 30% of switching events at 800 V and in 80% at 1000 V, and the effect of rise time in the 20–60 ns range remained weak (</w:t>
      </w:r>
      <w:hyperlink w:history="1" r:id="rId_gjyt2ixnxbwp6jz_hura">
        <w:r>
          <w:rPr>
            <w:color w:val="0563C1"/>
            <w:sz w:val="20"/>
            <w:szCs w:val="20"/>
            <w:u w:val="single"/>
          </w:rPr>
          <w:t xml:space="preserve">Hewitt et al. 2022</w:t>
        </w:r>
      </w:hyperlink>
      <w:r>
        <w:rPr>
          <w:sz w:val="20"/>
          <w:szCs w:val="20"/>
        </w:rPr>
        <w:t xml:space="preserve">). The inverse power law exponent n drops from 10 to 5.4 once PD starts in material without corona resistance and stays at ~10 in corona-resistant material (</w:t>
      </w:r>
      <w:hyperlink w:history="1" r:id="rId5xbsj58ouvsslxzqyux-w">
        <w:r>
          <w:rPr>
            <w:color w:val="0563C1"/>
            <w:sz w:val="20"/>
            <w:szCs w:val="20"/>
            <w:u w:val="single"/>
          </w:rPr>
          <w:t xml:space="preserve">Ramin et al. 2021</w:t>
        </w:r>
      </w:hyperlink>
      <w:r>
        <w:rPr>
          <w:sz w:val="20"/>
          <w:szCs w:val="20"/>
        </w:rPr>
        <w:t xml:space="preserve">); with n = 10, a 1.5-fold increase in field shortens life ~58-fold and a 2-fold increase ~1000-fold (calculation). Corona-resistant Kapton 200CR tape saw its B10 life under a 7 kVpp, 1 kHz square wave fall from ~80 to ~40 minutes after thermal and humidity aging (</w:t>
      </w:r>
      <w:hyperlink w:history="1" r:id="rIdt-7o0xtbta4f7nd6iullk">
        <w:r>
          <w:rPr>
            <w:color w:val="0563C1"/>
            <w:sz w:val="20"/>
            <w:szCs w:val="20"/>
            <w:u w:val="single"/>
          </w:rPr>
          <w:t xml:space="preserve">Han and Cavallini 2020</w:t>
        </w:r>
      </w:hyperlink>
      <w:r>
        <w:rPr>
          <w:sz w:val="20"/>
          <w:szCs w:val="20"/>
        </w:rPr>
        <w:t xml:space="preserve">); this test voltage lies in the middle of the IEC P/P target range for 1600 V (4.8–9.4 kVpp) (calculation). The voltage effect is small below the PDIV threshold and destructive above it. Energized tests at 1200–1600 V with unmodified insulation would measure PD-driven failure, not thermal aging.</w:t>
      </w:r>
    </w:p>
    <w:p>
      <w:pPr>
        <w:pStyle w:val="Heading2"/>
      </w:pPr>
      <w:bookmarkStart w:name="_TocH008" w:id="9"/>
      <w:r>
        <w:t xml:space="preserve">Among the eight candidates, Kapton tape is the type closest to 1200 V</w:t>
      </w:r>
      <w:bookmarkEnd w:id="9"/>
    </w:p>
    <w:p>
      <w:r>
        <w:rPr>
          <w:sz w:val="20"/>
          <w:szCs w:val="20"/>
        </w:rPr>
        <w:t xml:space="preserve">Table 3 roughly positions the five types in stock and the three planned types against the targets in Table 2. There is no measured PDIV for the products in stock; published type-level data exist only for enamel and PI-FEP tape. The table is therefore a list of hypotheses for the measurement plan, not a verdict (inference).</w:t>
      </w:r>
    </w:p>
    <w:p>
      <w:pPr>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pPr>
    </w:p>
    <w:p>
      <w:r>
        <w:rPr>
          <w:b/>
          <w:bCs/>
          <w:sz w:val="20"/>
          <w:szCs w:val="20"/>
        </w:rPr>
        <w:t xml:space="preserve">Table 3. Estimated position of the candidate insulations relative to the classes (calculation and inference)</w:t>
      </w:r>
    </w:p>
    <w:tbl>
      <w:tblPr>
        <w:tblW w:type="dxa" w:w="151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4"/>
        <w:gridCol w:w="4682"/>
        <w:gridCol w:w="2005"/>
        <w:gridCol w:w="2150"/>
        <w:gridCol w:w="1753"/>
        <w:gridCol w:w="3014"/>
      </w:tblGrid>
      <w:tr>
        <w:trPr>
          <w:cantSplit/>
          <w:tblHeader/>
        </w:trPr>
        <w:tc>
          <w:tcPr>
            <w:tcW w:type="dxa" w:w="153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Type</w:t>
            </w:r>
          </w:p>
        </w:tc>
        <w:tc>
          <w:tcPr>
            <w:tcW w:type="dxa" w:w="4682"/>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Structure and dielectric properties</w:t>
            </w:r>
          </w:p>
        </w:tc>
        <w:tc>
          <w:tcPr>
            <w:tcW w:type="dxa" w:w="200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800 V</w:t>
            </w:r>
          </w:p>
        </w:tc>
        <w:tc>
          <w:tcPr>
            <w:tcW w:type="dxa" w:w="215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1200 V</w:t>
            </w:r>
          </w:p>
        </w:tc>
        <w:tc>
          <w:tcPr>
            <w:tcW w:type="dxa" w:w="1753"/>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1600 V</w:t>
            </w:r>
          </w:p>
        </w:tc>
        <w:tc>
          <w:tcPr>
            <w:tcW w:type="dxa" w:w="301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Governing constraint</w:t>
            </w:r>
          </w:p>
        </w:tc>
      </w:tr>
      <w:tr>
        <w:trPr>
          <w:cantSplit/>
        </w:trPr>
        <w:tc>
          <w:tcPr>
            <w:tcW w:type="dxa" w:w="153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Enamel (stock)</w:t>
            </w:r>
          </w:p>
        </w:tc>
        <w:tc>
          <w:tcPr>
            <w:tcW w:type="dxa" w:w="468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Chemistry and thickness must be measured; series-production upper limit ~120–130 µm; εr PAI 4.3–4.6, PI 3.0</w:t>
            </w:r>
          </w:p>
        </w:tc>
        <w:tc>
          <w:tcPr>
            <w:tcW w:type="dxa" w:w="200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Yes with 110 µm; 80 µm not guaranteed</w:t>
            </w:r>
          </w:p>
        </w:tc>
        <w:tc>
          <w:tcPr>
            <w:tcW w:type="dxa" w:w="215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 for P/P</w:t>
            </w:r>
          </w:p>
        </w:tc>
        <w:tc>
          <w:tcPr>
            <w:tcW w:type="dxa" w:w="175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w:t>
            </w:r>
          </w:p>
        </w:tc>
        <w:tc>
          <w:tcPr>
            <w:tcW w:type="dxa" w:w="301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Thin build; corona-resistant type lowers PDIV</w:t>
            </w:r>
          </w:p>
        </w:tc>
      </w:tr>
      <w:tr>
        <w:trPr>
          <w:cantSplit/>
        </w:trPr>
        <w:tc>
          <w:tcPr>
            <w:tcW w:type="dxa" w:w="153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Kapton PI/FEP tape (stock)</w:t>
            </w:r>
          </w:p>
        </w:tc>
        <w:tc>
          <w:tcPr>
            <w:tcW w:type="dxa" w:w="468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0.15–0.35 mm increase; 150–350 µm between conductors; FEP εr ~2.0</w:t>
            </w:r>
          </w:p>
        </w:tc>
        <w:tc>
          <w:tcPr>
            <w:tcW w:type="dxa" w:w="200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Yes; for P/P, only thick builds once aged</w:t>
            </w:r>
          </w:p>
        </w:tc>
        <w:tc>
          <w:tcPr>
            <w:tcW w:type="dxa" w:w="215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T/T mostly yes; P/P only with the thickest build, before aging</w:t>
            </w:r>
          </w:p>
        </w:tc>
        <w:tc>
          <w:tcPr>
            <w:tcW w:type="dxa" w:w="175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T/T only at the thick end; no for P/P and P/G</w:t>
            </w:r>
          </w:p>
        </w:tc>
        <w:tc>
          <w:tcPr>
            <w:tcW w:type="dxa" w:w="301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Overlap step, adhesive type, bending</w:t>
            </w:r>
          </w:p>
        </w:tc>
      </w:tr>
      <w:tr>
        <w:trPr>
          <w:cantSplit/>
        </w:trPr>
        <w:tc>
          <w:tcPr>
            <w:tcW w:type="dxa" w:w="153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Tape + glass fiber (stock)</w:t>
            </w:r>
          </w:p>
        </w:tc>
        <w:tc>
          <w:tcPr>
            <w:tcW w:type="dxa" w:w="468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0.35–0.50 mm; PI barrier + porous glass</w:t>
            </w:r>
          </w:p>
        </w:tc>
        <w:tc>
          <w:tcPr>
            <w:tcW w:type="dxa" w:w="200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Depends on the PI layer</w:t>
            </w:r>
          </w:p>
        </w:tc>
        <w:tc>
          <w:tcPr>
            <w:tcW w:type="dxa" w:w="215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Depends on the PI layer</w:t>
            </w:r>
          </w:p>
        </w:tc>
        <w:tc>
          <w:tcPr>
            <w:tcW w:type="dxa" w:w="175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Not as PD-free</w:t>
            </w:r>
          </w:p>
        </w:tc>
        <w:tc>
          <w:tcPr>
            <w:tcW w:type="dxa" w:w="301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Oil filling of the glass pores</w:t>
            </w:r>
          </w:p>
        </w:tc>
      </w:tr>
      <w:tr>
        <w:trPr>
          <w:cantSplit/>
        </w:trPr>
        <w:tc>
          <w:tcPr>
            <w:tcW w:type="dxa" w:w="153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Glass fiber (stock)</w:t>
            </w:r>
          </w:p>
        </w:tc>
        <w:tc>
          <w:tcPr>
            <w:tcW w:type="dxa" w:w="468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0.30–0.50 mm; varnish-bonded, porous</w:t>
            </w:r>
          </w:p>
        </w:tc>
        <w:tc>
          <w:tcPr>
            <w:tcW w:type="dxa" w:w="200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Only if the pores are filled</w:t>
            </w:r>
          </w:p>
        </w:tc>
        <w:tc>
          <w:tcPr>
            <w:tcW w:type="dxa" w:w="215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Uncertain</w:t>
            </w:r>
          </w:p>
        </w:tc>
        <w:tc>
          <w:tcPr>
            <w:tcW w:type="dxa" w:w="175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PD-resistant comparator</w:t>
            </w:r>
          </w:p>
        </w:tc>
        <w:tc>
          <w:tcPr>
            <w:tcW w:type="dxa" w:w="301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Porosity; low RPDIV under poling (pre-stress)</w:t>
            </w:r>
          </w:p>
        </w:tc>
      </w:tr>
      <w:tr>
        <w:trPr>
          <w:cantSplit/>
        </w:trPr>
        <w:tc>
          <w:tcPr>
            <w:tcW w:type="dxa" w:w="153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Foil + glass fiber (stock)</w:t>
            </w:r>
          </w:p>
        </w:tc>
        <w:tc>
          <w:tcPr>
            <w:tcW w:type="dxa" w:w="468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0.35–0.50 mm; foil type unknown</w:t>
            </w:r>
          </w:p>
        </w:tc>
        <w:tc>
          <w:tcPr>
            <w:tcW w:type="dxa" w:w="200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Depends on the foil</w:t>
            </w:r>
          </w:p>
        </w:tc>
        <w:tc>
          <w:tcPr>
            <w:tcW w:type="dxa" w:w="215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Depends on the foil</w:t>
            </w:r>
          </w:p>
        </w:tc>
        <w:tc>
          <w:tcPr>
            <w:tcW w:type="dxa" w:w="175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Not as PD-free</w:t>
            </w:r>
          </w:p>
        </w:tc>
        <w:tc>
          <w:tcPr>
            <w:tcW w:type="dxa" w:w="301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If PET, ≤150 °C and hydrolysis</w:t>
            </w:r>
          </w:p>
        </w:tc>
      </w:tr>
      <w:tr>
        <w:trPr>
          <w:cantSplit/>
        </w:trPr>
        <w:tc>
          <w:tcPr>
            <w:tcW w:type="dxa" w:w="153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PEEK (planned)</w:t>
            </w:r>
          </w:p>
        </w:tc>
        <w:tc>
          <w:tcPr>
            <w:tcW w:type="dxa" w:w="468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Extruded 80–300 µm; εr 3.1 → 4.5–4.7 (above Tg 143 °C)</w:t>
            </w:r>
          </w:p>
        </w:tc>
        <w:tc>
          <w:tcPr>
            <w:tcW w:type="dxa" w:w="200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Yes</w:t>
            </w:r>
          </w:p>
        </w:tc>
        <w:tc>
          <w:tcPr>
            <w:tcW w:type="dxa" w:w="215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T/T yes; P/P marginal</w:t>
            </w:r>
          </w:p>
        </w:tc>
        <w:tc>
          <w:tcPr>
            <w:tcW w:type="dxa" w:w="175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Not as a wire</w:t>
            </w:r>
          </w:p>
        </w:tc>
        <w:tc>
          <w:tcPr>
            <w:tcW w:type="dxa" w:w="301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εr rise when hot; air gap in lab shrink/tube</w:t>
            </w:r>
          </w:p>
        </w:tc>
      </w:tr>
      <w:tr>
        <w:trPr>
          <w:cantSplit/>
        </w:trPr>
        <w:tc>
          <w:tcPr>
            <w:tcW w:type="dxa" w:w="153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Epoxy powder (planned)</w:t>
            </w:r>
          </w:p>
        </w:tc>
        <w:tc>
          <w:tcPr>
            <w:tcW w:type="dxa" w:w="4682"/>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200–2000 µm; εr 4.0; edge 30–40% of the flat face</w:t>
            </w:r>
          </w:p>
        </w:tc>
        <w:tc>
          <w:tcPr>
            <w:tcW w:type="dxa" w:w="200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Possible at the weld end</w:t>
            </w:r>
          </w:p>
        </w:tc>
        <w:tc>
          <w:tcPr>
            <w:tcW w:type="dxa" w:w="215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Possible with thickness</w:t>
            </w:r>
          </w:p>
        </w:tc>
        <w:tc>
          <w:tcPr>
            <w:tcW w:type="dxa" w:w="175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Possible with thickness, the corner is limiting</w:t>
            </w:r>
          </w:p>
        </w:tc>
        <w:tc>
          <w:tcPr>
            <w:tcW w:type="dxa" w:w="301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After forming; no PD data; hydrolysis risk in wet oil</w:t>
            </w:r>
          </w:p>
        </w:tc>
      </w:tr>
      <w:tr>
        <w:trPr>
          <w:cantSplit/>
        </w:trPr>
        <w:tc>
          <w:tcPr>
            <w:tcW w:type="dxa" w:w="153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Parylene HT (planned)</w:t>
            </w:r>
          </w:p>
        </w:tc>
        <w:tc>
          <w:tcPr>
            <w:tcW w:type="dxa" w:w="4682"/>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≤75 µm (preferred 1–40); εr 2.2; water &lt;0.01%</w:t>
            </w:r>
          </w:p>
        </w:tc>
        <w:tc>
          <w:tcPr>
            <w:tcW w:type="dxa" w:w="200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Possible at 75 µm, 40 µm marginal</w:t>
            </w:r>
          </w:p>
        </w:tc>
        <w:tc>
          <w:tcPr>
            <w:tcW w:type="dxa" w:w="215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As an overcoat on enamel</w:t>
            </w:r>
          </w:p>
        </w:tc>
        <w:tc>
          <w:tcPr>
            <w:tcW w:type="dxa" w:w="175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w:t>
            </w:r>
          </w:p>
        </w:tc>
        <w:tc>
          <w:tcPr>
            <w:tcW w:type="dxa" w:w="301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Thin; no PD or oil data</w:t>
            </w:r>
          </w:p>
        </w:tc>
      </w:tr>
    </w:tbl>
    <w:p>
      <w:pPr>
        <w:spacing w:after="120" w:before="0"/>
      </w:pPr>
    </w:p>
    <w:p>
      <w:pPr>
        <w:sectPr>
          <w:headerReference w:type="default" r:id="rId11"/>
          <w:footerReference w:type="default" r:id="rId12"/>
          <w:pgSz w:w="16838" w:h="11906" w:orient="landscape"/>
          <w:pgMar w:top="1000" w:right="850" w:bottom="1000" w:left="850" w:header="708" w:footer="708" w:gutter="0"/>
          <w:pgNumType/>
          <w:docGrid w:linePitch="360"/>
        </w:sectPr>
      </w:pPr>
    </w:p>
    <w:p>
      <w:r>
        <w:rPr>
          <w:b/>
          <w:bCs/>
          <w:sz w:val="20"/>
          <w:szCs w:val="20"/>
        </w:rPr>
        <w:t xml:space="preserve">Enamel</w:t>
      </w:r>
      <w:r>
        <w:rPr>
          <w:sz w:val="20"/>
          <w:szCs w:val="20"/>
        </w:rPr>
        <w:t xml:space="preserve"> is the reference class of the stock but the type with the narrowest margin on the voltage axis. Series-production hairpin enamel is limited to ~120–130 µm (</w:t>
      </w:r>
      <w:hyperlink w:history="1" r:id="rIdr2utokij6slrlbqws3niw">
        <w:r>
          <w:rPr>
            <w:color w:val="0563C1"/>
            <w:sz w:val="20"/>
            <w:szCs w:val="20"/>
            <w:u w:val="single"/>
          </w:rPr>
          <w:t xml:space="preserve">Victrex e-book</w:t>
        </w:r>
      </w:hyperlink>
      <w:r>
        <w:rPr>
          <w:sz w:val="20"/>
          <w:szCs w:val="20"/>
        </w:rPr>
        <w:t xml:space="preserve">); according to HEFT data, 110 µm PAI is enough for 800 V, while 80 µm may not be. No class verdict can be given without knowing the chemistry (FTIR) and thickness (IEC 60851-2) of the enamel in stock. Corona-resistant enamel is valuable not for PD-free margin but for comparing endurance under PD at 1600 V.</w:t>
      </w:r>
    </w:p>
    <w:p>
      <w:r>
        <w:rPr>
          <w:b/>
          <w:bCs/>
          <w:sz w:val="20"/>
          <w:szCs w:val="20"/>
        </w:rPr>
        <w:t xml:space="preserve">Kapton (PI/FEP) tape</w:t>
      </w:r>
      <w:r>
        <w:rPr>
          <w:sz w:val="20"/>
          <w:szCs w:val="20"/>
        </w:rPr>
        <w:t xml:space="preserve"> is the type in stock closest to 1200 V. The 0.15–0.35 mm dimensional increase means 75–175 µm per wire; when two taped conductors touch, the total insulation between them is 150–350 µm, i.e., the range of Gao's PI-FEP hairpin pairs. At 180 °C the fitted line gives 0.98–1.62 kVp, or </w:t>
      </w:r>
      <w:r>
        <w:rPr>
          <w:b/>
          <w:bCs/>
          <w:sz w:val="20"/>
          <w:szCs w:val="20"/>
        </w:rPr>
        <w:t xml:space="preserve">≈2.0–3.2 kVpp</w:t>
      </w:r>
      <w:r>
        <w:rPr>
          <w:sz w:val="20"/>
          <w:szCs w:val="20"/>
        </w:rPr>
        <w:t xml:space="preserve"> as the AC peak-to-peak equivalent; with a 30% aging loss, this falls to 1.4–2.3 kVpp (calculation; </w:t>
      </w:r>
      <w:hyperlink w:history="1" r:id="rIdx5sll7mw6q8v4matjvucm">
        <w:r>
          <w:rPr>
            <w:color w:val="0563C1"/>
            <w:sz w:val="20"/>
            <w:szCs w:val="20"/>
            <w:u w:val="single"/>
          </w:rPr>
          <w:t xml:space="preserve">Gao et al. 2023</w:t>
        </w:r>
      </w:hyperlink>
      <w:r>
        <w:rPr>
          <w:sz w:val="20"/>
          <w:szCs w:val="20"/>
        </w:rPr>
        <w:t xml:space="preserve">). This value largely meets the IEC hot-aged T/T target at 1200 V (1.26–1.58 kVpp), and at 1600 V (1.68–2.10 kVpp) only at the thick end. For P/P, it meets the HEFT target for 800 V (1.92 kVpp) at every thickness when new and only with thick builds after aging, and the target for 1200 V (2.88 kVpp) only with the thickest build and before aging. Because the fit was established at 250–350 µm, the 150 µm end is an extrapolation. Magnet wire tapes are normally heat sealed with FEP (</w:t>
      </w:r>
      <w:hyperlink w:history="1" r:id="rId9hcgibhni9ol3xmmi4kaq">
        <w:r>
          <w:rPr>
            <w:color w:val="0563C1"/>
            <w:sz w:val="20"/>
            <w:szCs w:val="20"/>
            <w:u w:val="single"/>
          </w:rPr>
          <w:t xml:space="preserve">DuPont magnet wire bulletin</w:t>
        </w:r>
      </w:hyperlink>
      <w:r>
        <w:rPr>
          <w:sz w:val="20"/>
          <w:szCs w:val="20"/>
        </w:rPr>
        <w:t xml:space="preserve">); if the tape in stock has a pressure-sensitive adhesive, or if the steps of the 50% overlap leave air wedges, the actual PDIV will be lower (inference). The fresh PDIV B10 of ~1590 Vpp measured at room temperature on wrapped Kapton 200CR tape (</w:t>
      </w:r>
      <w:hyperlink w:history="1" r:id="rIdca6zfw1c_8pmltpssyq3s">
        <w:r>
          <w:rPr>
            <w:color w:val="0563C1"/>
            <w:sz w:val="20"/>
            <w:szCs w:val="20"/>
            <w:u w:val="single"/>
          </w:rPr>
          <w:t xml:space="preserve">Han and Cavallini 2020</w:t>
        </w:r>
      </w:hyperlink>
      <w:r>
        <w:rPr>
          <w:sz w:val="20"/>
          <w:szCs w:val="20"/>
        </w:rPr>
        <w:t xml:space="preserve">; the source is inconsistent on the tape thickness, giving both 50 and 100 µm) indicates that a thin wrap would be marginal at 1200 V.</w:t>
      </w:r>
    </w:p>
    <w:p>
      <w:r>
        <w:rPr>
          <w:b/>
          <w:bCs/>
          <w:sz w:val="20"/>
          <w:szCs w:val="20"/>
        </w:rPr>
        <w:t xml:space="preserve">The three glass fiber types</w:t>
      </w:r>
      <w:r>
        <w:rPr>
          <w:sz w:val="20"/>
          <w:szCs w:val="20"/>
        </w:rPr>
        <w:t xml:space="preserve"> (tape + glass, glass, foil + glass), with their 0.30–0.50 mm builds, meet the P/P requirement of 800 V in terms of thickness and approach that of 1200 V, but the glass is porous. A 100 µm silicone-varnished glass fiber wire gave a markedly lower RPDIV than a 40 µm PEEK wire after unipolar pre-stressing, and its RPDIV at 2.5 kHz fell 820 V below its 50 Hz value (</w:t>
      </w:r>
      <w:hyperlink w:history="1" r:id="rId0receilalp3measeufl4l">
        <w:r>
          <w:rPr>
            <w:color w:val="0563C1"/>
            <w:sz w:val="20"/>
            <w:szCs w:val="20"/>
            <w:u w:val="single"/>
          </w:rPr>
          <w:t xml:space="preserve">Naderiallaf et al. 2023</w:t>
        </w:r>
      </w:hyperlink>
      <w:r>
        <w:rPr>
          <w:sz w:val="20"/>
          <w:szCs w:val="20"/>
        </w:rPr>
        <w:t xml:space="preserve">). Porous structures can be PD-free only when fully impregnated (inference). In a motor running in oil, it is oil, not varnish, that fills these pores; the oil fills the voids when cold and empties them when hot and when it drains (next section). This group is the most sensitive to oil condition and should be treated not as a PD-free candidate but as a PD-resistant (Type II-like) comparison class. In the tape + glass type, the PD-free margin is carried by the PI layer. For the foil + glass type, on the other hand, the foil type must be determined first; PET has a recommended maximum service temperature of 150 °C and embrittles through hydrolysis at water content above ~0.1% (</w:t>
      </w:r>
      <w:hyperlink w:history="1" r:id="rId7hrp17556-b4rfonvuj5i">
        <w:r>
          <w:rPr>
            <w:color w:val="0563C1"/>
            <w:sz w:val="20"/>
            <w:szCs w:val="20"/>
            <w:u w:val="single"/>
          </w:rPr>
          <w:t xml:space="preserve">DuPont Teijin Mylar</w:t>
        </w:r>
      </w:hyperlink>
      <w:r>
        <w:rPr>
          <w:sz w:val="20"/>
          <w:szCs w:val="20"/>
        </w:rPr>
        <w:t xml:space="preserve">).</w:t>
      </w:r>
    </w:p>
    <w:p>
      <w:r>
        <w:rPr>
          <w:b/>
          <w:bCs/>
          <w:sz w:val="20"/>
          <w:szCs w:val="20"/>
        </w:rPr>
        <w:t xml:space="preserve">PEEK</w:t>
      </w:r>
      <w:r>
        <w:rPr>
          <w:sz w:val="20"/>
          <w:szCs w:val="20"/>
        </w:rPr>
        <w:t xml:space="preserve"> (planned), with its 80–300 µm extrusion, surpasses enamel on the thickness scale; enamel + PEEK with 200 µm in total gave a PDIV of 2.2 kVp at 25 °C (patent data; </w:t>
      </w:r>
      <w:hyperlink w:history="1" r:id="rIdlizzxtbx-bjk2e-71nv4w">
        <w:r>
          <w:rPr>
            <w:color w:val="0563C1"/>
            <w:sz w:val="20"/>
            <w:szCs w:val="20"/>
            <w:u w:val="single"/>
          </w:rPr>
          <w:t xml:space="preserve">US10109389B2</w:t>
        </w:r>
      </w:hyperlink>
      <w:r>
        <w:rPr>
          <w:sz w:val="20"/>
          <w:szCs w:val="20"/>
        </w:rPr>
        <w:t xml:space="preserve">). However, the εr of PEEK increases above Tg (143 °C): 3.1 at 25 °C and 4.7 at 250 °C (</w:t>
      </w:r>
      <w:hyperlink w:history="1" r:id="rId_wipriesm6awh1mcjnryk">
        <w:r>
          <w:rPr>
            <w:color w:val="0563C1"/>
            <w:sz w:val="20"/>
            <w:szCs w:val="20"/>
            <w:u w:val="single"/>
          </w:rPr>
          <w:t xml:space="preserve">US9224523B2</w:t>
        </w:r>
      </w:hyperlink>
      <w:r>
        <w:rPr>
          <w:sz w:val="20"/>
          <w:szCs w:val="20"/>
        </w:rPr>
        <w:t xml:space="preserve">). PEEK twisted pairs lose somewhat more PDIV than PAI across 25–230 °C (</w:t>
      </w:r>
      <w:hyperlink w:history="1" r:id="rIdgraexfgltrxvnw4ksucud">
        <w:r>
          <w:rPr>
            <w:color w:val="0563C1"/>
            <w:sz w:val="20"/>
            <w:szCs w:val="20"/>
            <w:u w:val="single"/>
          </w:rPr>
          <w:t xml:space="preserve">Ji et al. 2024 review</w:t>
        </w:r>
      </w:hyperlink>
      <w:r>
        <w:rPr>
          <w:sz w:val="20"/>
          <w:szCs w:val="20"/>
        </w:rPr>
        <w:t xml:space="preserve">); the room-temperature advantage largely melts away in the 180 °C measurement, and PDIV also drops by 32% under thermal aging (</w:t>
      </w:r>
      <w:hyperlink w:history="1" r:id="rIdzp4q5nlbqkqshdekthuc0">
        <w:r>
          <w:rPr>
            <w:color w:val="0563C1"/>
            <w:sz w:val="20"/>
            <w:szCs w:val="20"/>
            <w:u w:val="single"/>
          </w:rPr>
          <w:t xml:space="preserve">Khowja et al. 2024</w:t>
        </w:r>
      </w:hyperlink>
      <w:r>
        <w:rPr>
          <w:sz w:val="20"/>
          <w:szCs w:val="20"/>
        </w:rPr>
        <w:t xml:space="preserve">). Because PEEK shrink or tube applied to a bare conductor in the laboratory can leave air on a rectangular cross-section, it should be evaluated separately from commercial extruded wire; a round tube slipped over a 4 × 2 mm bar leaves a ~1.1 mm gap at the middle of the wide faces (calculation).</w:t>
      </w:r>
    </w:p>
    <w:p>
      <w:r>
        <w:rPr>
          <w:b/>
          <w:bCs/>
          <w:sz w:val="20"/>
          <w:szCs w:val="20"/>
        </w:rPr>
        <w:t xml:space="preserve">Epoxy powder</w:t>
      </w:r>
      <w:r>
        <w:rPr>
          <w:sz w:val="20"/>
          <w:szCs w:val="20"/>
        </w:rPr>
        <w:t xml:space="preserve"> (planned) is the only candidate that can reach the P/G and P/P requirements of 1200–1600 V in terms of thickness: 200–2000 µm in 1–5 s in a fluidized bed (</w:t>
      </w:r>
      <w:hyperlink w:history="1" r:id="rIdw3n_-pdoy1acworvyr1g8">
        <w:r>
          <w:rPr>
            <w:color w:val="0563C1"/>
            <w:sz w:val="20"/>
            <w:szCs w:val="20"/>
            <w:u w:val="single"/>
          </w:rPr>
          <w:t xml:space="preserve">AkzoNobel Resicoat EV</w:t>
        </w:r>
      </w:hyperlink>
      <w:r>
        <w:rPr>
          <w:sz w:val="20"/>
          <w:szCs w:val="20"/>
        </w:rPr>
        <w:t xml:space="preserve">). But the edge thickness is only 30–40% of that on the flat face (</w:t>
      </w:r>
      <w:hyperlink w:history="1" r:id="rId0oisks8zplnzj-k5t102w">
        <w:r>
          <w:rPr>
            <w:color w:val="0563C1"/>
            <w:sz w:val="20"/>
            <w:szCs w:val="20"/>
            <w:u w:val="single"/>
          </w:rPr>
          <w:t xml:space="preserve">3M Scotchcast 5555</w:t>
        </w:r>
      </w:hyperlink>
      <w:r>
        <w:rPr>
          <w:sz w:val="20"/>
          <w:szCs w:val="20"/>
        </w:rPr>
        <w:t xml:space="preserve">), its εr is 4.0, and because its elongation is &gt;5% it must be applied after forming and welding; PD is determined by the corner, not by the flat face. In hairpins, its series-production use is already at the weld ends, i.e., the region where the bare ends of different phases face each other at 1200–1600 V. In wet ATF, the bond strength of an epoxy-anhydride impregnation resin fell to 4.29% of its initial value after 2000 h at 150 °C (</w:t>
      </w:r>
      <w:hyperlink w:history="1" r:id="rIdjgs7yp-fuivp4dnewaq3k">
        <w:r>
          <w:rPr>
            <w:color w:val="0563C1"/>
            <w:sz w:val="20"/>
            <w:szCs w:val="20"/>
            <w:u w:val="single"/>
          </w:rPr>
          <w:t xml:space="preserve">Wei Xiongqiang et al. 2022</w:t>
        </w:r>
      </w:hyperlink>
      <w:r>
        <w:rPr>
          <w:sz w:val="20"/>
          <w:szCs w:val="20"/>
        </w:rPr>
        <w:t xml:space="preserve">); the cure chemistry of powder epoxy may differ, but the wet arm should test this risk (inference).</w:t>
      </w:r>
    </w:p>
    <w:p>
      <w:r>
        <w:rPr>
          <w:b/>
          <w:bCs/>
          <w:sz w:val="20"/>
          <w:szCs w:val="20"/>
        </w:rPr>
        <w:t xml:space="preserve">Parylene HT</w:t>
      </w:r>
      <w:r>
        <w:rPr>
          <w:sz w:val="20"/>
          <w:szCs w:val="20"/>
        </w:rPr>
        <w:t xml:space="preserve"> (planned) is thin, at ≤75 µm (preferably 1–40 µm), but its εr is 2.2 and its water absorption &lt;0.01% (</w:t>
      </w:r>
      <w:hyperlink w:history="1" r:id="rIdeycscmwjox8fh4n1a9mc7">
        <w:r>
          <w:rPr>
            <w:color w:val="0563C1"/>
            <w:sz w:val="20"/>
            <w:szCs w:val="20"/>
            <w:u w:val="single"/>
          </w:rPr>
          <w:t xml:space="preserve">SCS parylene table</w:t>
        </w:r>
      </w:hyperlink>
      <w:r>
        <w:rPr>
          <w:sz w:val="20"/>
          <w:szCs w:val="20"/>
        </w:rPr>
        <w:t xml:space="preserve">). In terms of t/εr, 40 µm of Parylene HT is equivalent to ≈80 µm of PAI and 75 µm to ≈150 µm of PAI (calculation); in other words, 40 µm on its own sits in the same place as the 80 µm enamel that HEFT calls "not guaranteed" at 800 V. Its real value is on top of enamel: by summed t/εr, 110 µm PAI + 40 µm Parylene HT is equivalent to </w:t>
      </w:r>
      <w:r>
        <w:rPr>
          <w:b/>
          <w:bCs/>
          <w:sz w:val="20"/>
          <w:szCs w:val="20"/>
        </w:rPr>
        <w:t xml:space="preserve">≈190 µm of PAI</w:t>
      </w:r>
      <w:r>
        <w:rPr>
          <w:sz w:val="20"/>
          <w:szCs w:val="20"/>
        </w:rPr>
        <w:t xml:space="preserve">, which is above the 150 µm that HEFT projects for 1200 V from its room-temperature data (</w:t>
      </w:r>
      <w:hyperlink w:history="1" r:id="rIdrhwb6jxclywx4tueekpt1">
        <w:r>
          <w:rPr>
            <w:color w:val="0563C1"/>
            <w:sz w:val="20"/>
            <w:szCs w:val="20"/>
            <w:u w:val="single"/>
          </w:rPr>
          <w:t xml:space="preserve">HEFT D2.4</w:t>
        </w:r>
      </w:hyperlink>
      <w:r>
        <w:rPr>
          <w:sz w:val="20"/>
          <w:szCs w:val="20"/>
        </w:rPr>
        <w:t xml:space="preserve">). This is a rough calculation, because Gao reports that Dakin's relation does not hold for composites (</w:t>
      </w:r>
      <w:hyperlink w:history="1" r:id="rIdczz0fecc8wz16vu7l7rcw">
        <w:r>
          <w:rPr>
            <w:color w:val="0563C1"/>
            <w:sz w:val="20"/>
            <w:szCs w:val="20"/>
            <w:u w:val="single"/>
          </w:rPr>
          <w:t xml:space="preserve">Gao et al. 2023</w:t>
        </w:r>
      </w:hyperlink>
      <w:r>
        <w:rPr>
          <w:sz w:val="20"/>
          <w:szCs w:val="20"/>
        </w:rPr>
        <w:t xml:space="preserve">). Essex's patent describes exactly this route, a parylene overcoat on enamel in formed hairpins, with a PDIV target of &gt;1000–2500 V; these are targets, not measurements (</w:t>
      </w:r>
      <w:hyperlink w:history="1" r:id="rIdqxnud76pmbiuroyopj9v9">
        <w:r>
          <w:rPr>
            <w:color w:val="0563C1"/>
            <w:sz w:val="20"/>
            <w:szCs w:val="20"/>
            <w:u w:val="single"/>
          </w:rPr>
          <w:t xml:space="preserve">US10510459B2</w:t>
        </w:r>
      </w:hyperlink>
      <w:r>
        <w:rPr>
          <w:sz w:val="20"/>
          <w:szCs w:val="20"/>
        </w:rPr>
        <w:t xml:space="preserve">). Whether this layer protects the cut ends and welds from wet oil is a hypothesis the study can test (inference).</w:t>
      </w:r>
    </w:p>
    <w:p>
      <w:r>
        <w:rPr>
          <w:sz w:val="20"/>
          <w:szCs w:val="20"/>
        </w:rPr>
        <w:t xml:space="preserve">At 1600 V, no candidate wire is PD-free on its own. The 0.8–1.1 mm of total insulation that the IEC chain requires for P/P and P/G is more than twice the per-wire build of enamel (~120–130 µm) and extruded PEEK (80–300 µm). Even for the lower HEFT target (3.84 kVpp), the PI-FEP fit calls for ~220 µm per wire when new and ~350 µm with a 30% aging margin (calculation, extrapolation). Three routes remain: much thicker or low-εr multilayer insulation, a three-level topology, or a mica- or inorganic-filled Type II system qualified by life testing (inference). Phase separators in the end winding, void-free impregnation and a winding scheme that separates the line ends complement these routes. Even a design study of a 1 kV aircraft motor concludes that, under conservative criteria, PD "cannot always be prevented" and recommends corona-resistant material, void-free VPI and PD monitoring (</w:t>
      </w:r>
      <w:hyperlink w:history="1" r:id="rId_h_s_ttnrjxilno9bdiiv">
        <w:r>
          <w:rPr>
            <w:color w:val="0563C1"/>
            <w:sz w:val="20"/>
            <w:szCs w:val="20"/>
            <w:u w:val="single"/>
          </w:rPr>
          <w:t xml:space="preserve">Ramin et al. 2021</w:t>
        </w:r>
      </w:hyperlink>
      <w:r>
        <w:rPr>
          <w:sz w:val="20"/>
          <w:szCs w:val="20"/>
        </w:rPr>
        <w:t xml:space="preserve">); in SiC-fed rail traction motors, turn insulations of 0.23 and 0.30 mm are being tested (</w:t>
      </w:r>
      <w:hyperlink w:history="1" r:id="rId3rydbexeo9wqjboo1-vcu">
        <w:r>
          <w:rPr>
            <w:color w:val="0563C1"/>
            <w:sz w:val="20"/>
            <w:szCs w:val="20"/>
            <w:u w:val="single"/>
          </w:rPr>
          <w:t xml:space="preserve">Luo et al. 2024</w:t>
        </w:r>
      </w:hyperlink>
      <w:r>
        <w:rPr>
          <w:sz w:val="20"/>
          <w:szCs w:val="20"/>
        </w:rPr>
        <w:t xml:space="preserve">). In the 1600 V class, the study's question thus shifts from "which wire stays PD-free?" to "which insulation stays PD-free with how much margin, and how long does it last if PD starts?"</w:t>
      </w:r>
    </w:p>
    <w:p>
      <w:pPr>
        <w:pStyle w:val="Heading1"/>
      </w:pPr>
      <w:bookmarkStart w:name="_TocH009" w:id="10"/>
      <w:r>
        <w:t xml:space="preserve">A hot oil film eats as much margin as the bus voltage increase</w:t>
      </w:r>
      <w:bookmarkEnd w:id="10"/>
    </w:p>
    <w:p>
      <w:r>
        <w:rPr>
          <w:sz w:val="20"/>
          <w:szCs w:val="20"/>
        </w:rPr>
        <w:t xml:space="preserve">Oil raises PDIV only as long as it fills the gap and stays cold. Sichuan University coated 0.25 mm aramid paper with 0.02 mL of Mobil ATF220 and measured the AC PDIV at 20–150 °C. This amount corresponds to an average film of ~12.5 µm; in other words, these are the closest data to a drained or spray-wetted surface (calculation). The oil film raised the PDIV at 20 °C </w:t>
      </w:r>
      <w:r>
        <w:rPr>
          <w:b/>
          <w:bCs/>
          <w:sz w:val="20"/>
          <w:szCs w:val="20"/>
        </w:rPr>
        <w:t xml:space="preserve">from 3.44 to 4.80 kV (+39%)</w:t>
      </w:r>
      <w:r>
        <w:rPr>
          <w:sz w:val="20"/>
          <w:szCs w:val="20"/>
        </w:rPr>
        <w:t xml:space="preserve">; the difference fell to 7% at 80 °C and turned to −8% at 120 °C and </w:t>
      </w:r>
      <w:r>
        <w:rPr>
          <w:b/>
          <w:bCs/>
          <w:sz w:val="20"/>
          <w:szCs w:val="20"/>
        </w:rPr>
        <w:t xml:space="preserve">−9%</w:t>
      </w:r>
      <w:r>
        <w:rPr>
          <w:sz w:val="20"/>
          <w:szCs w:val="20"/>
        </w:rPr>
        <w:t xml:space="preserve"> at 150 °C, and the dry and oiled curves crossed at ~100 °C for all three thicknesses (</w:t>
      </w:r>
      <w:hyperlink w:history="1" r:id="rIdor1vdf5u66xc9ud3opety">
        <w:r>
          <w:rPr>
            <w:color w:val="0563C1"/>
            <w:sz w:val="20"/>
            <w:szCs w:val="20"/>
            <w:u w:val="single"/>
          </w:rPr>
          <w:t xml:space="preserve">Chen et al. 2022</w:t>
        </w:r>
      </w:hyperlink>
      <w:r>
        <w:rPr>
          <w:sz w:val="20"/>
          <w:szCs w:val="20"/>
        </w:rPr>
        <w:t xml:space="preserve">). From 20 to 150 °C, the oiled PDIV dropped by ≈2 kV, while the dry PDIV dropped by only ≈0.5 kV. The authors suggest that as the oil heats up, its viscosity drops, it spreads out and no longer fills the voids, that an uneven distribution can concentrate the field, and that trace water in the oil can form bubbles at high temperature. The implication for the voltage classes is clear: the hot wet PDIV is </w:t>
      </w:r>
      <w:r>
        <w:rPr>
          <w:b/>
          <w:bCs/>
          <w:sz w:val="20"/>
          <w:szCs w:val="20"/>
        </w:rPr>
        <w:t xml:space="preserve">a factor of 1.76 below</w:t>
      </w:r>
      <w:r>
        <w:rPr>
          <w:sz w:val="20"/>
          <w:szCs w:val="20"/>
        </w:rPr>
        <w:t xml:space="preserve"> the wet value at room temperature; this exceeds the step from 800 to 1200 V (1.5) and is close to the step to 1600 V (2) (calculation). A "PD-free" result measured in oil at room temperature can carry an error larger than the bus voltage increase. Spraying ATF onto a hot conductor also lowered the PDIV by 10–15%; visible vapor formed, and the authors believe that hydrocarbons in the gas phase enhance ionization (</w:t>
      </w:r>
      <w:hyperlink w:history="1" r:id="rIdeameqakczmehyx-wj9gpa">
        <w:r>
          <w:rPr>
            <w:color w:val="0563C1"/>
            <w:sz w:val="20"/>
            <w:szCs w:val="20"/>
            <w:u w:val="single"/>
          </w:rPr>
          <w:t xml:space="preserve">Martinez et al. 2025</w:t>
        </w:r>
      </w:hyperlink>
      <w:r>
        <w:rPr>
          <w:sz w:val="20"/>
          <w:szCs w:val="20"/>
        </w:rPr>
        <w:t xml:space="preserve">; </w:t>
      </w:r>
      <w:hyperlink w:history="1" r:id="rIde_sonbyia513goqgxetux">
        <w:r>
          <w:rPr>
            <w:color w:val="0563C1"/>
            <w:sz w:val="20"/>
            <w:szCs w:val="20"/>
            <w:u w:val="single"/>
          </w:rPr>
          <w:t xml:space="preserve">Seri et al. 2025</w:t>
        </w:r>
      </w:hyperlink>
      <w:r>
        <w:rPr>
          <w:sz w:val="20"/>
          <w:szCs w:val="20"/>
        </w:rPr>
        <w:t xml:space="preserve">).</w:t>
      </w:r>
    </w:p>
    <w:p>
      <w:r>
        <w:rPr>
          <w:b/>
          <w:bCs/>
          <w:sz w:val="20"/>
          <w:szCs w:val="20"/>
        </w:rPr>
        <w:t xml:space="preserve">Table 4. Effect of oil condition on PD inception and breakdown (different setups)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01"/>
        <w:gridCol w:w="3540"/>
        <w:gridCol w:w="1997"/>
      </w:tblGrid>
      <w:tr>
        <w:trPr>
          <w:cantSplit/>
          <w:tblHeader/>
        </w:trPr>
        <w:tc>
          <w:tcPr>
            <w:tcW w:type="dxa" w:w="4101"/>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Oil condition and setup</w:t>
            </w:r>
          </w:p>
        </w:tc>
        <w:tc>
          <w:tcPr>
            <w:tcW w:type="dxa" w:w="354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Effect</w:t>
            </w:r>
          </w:p>
        </w:tc>
        <w:tc>
          <w:tcPr>
            <w:tcW w:type="dxa" w:w="1997"/>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Source</w:t>
            </w:r>
          </w:p>
        </w:tc>
      </w:tr>
      <w:tr>
        <w:trPr>
          <w:cantSplit/>
        </w:trPr>
        <w:tc>
          <w:tcPr>
            <w:tcW w:type="dxa" w:w="410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~12.5 µm ATF film, 20 °C (aramid paper, AC)</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+39% relative to dry</w:t>
            </w:r>
          </w:p>
        </w:tc>
        <w:tc>
          <w:tcPr>
            <w:tcW w:type="dxa" w:w="199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68xc7svitvmyusaci5vwq">
              <w:r>
                <w:rPr>
                  <w:color w:val="0563C1"/>
                  <w:sz w:val="16"/>
                  <w:szCs w:val="16"/>
                  <w:u w:val="single"/>
                </w:rPr>
                <w:t xml:space="preserve">Chen et al. 2022</w:t>
              </w:r>
            </w:hyperlink>
          </w:p>
        </w:tc>
      </w:tr>
      <w:tr>
        <w:trPr>
          <w:cantSplit/>
        </w:trPr>
        <w:tc>
          <w:tcPr>
            <w:tcW w:type="dxa" w:w="410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Same film, 150 °C</w:t>
            </w:r>
          </w:p>
        </w:tc>
        <w:tc>
          <w:tcPr>
            <w:tcW w:type="dxa" w:w="354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−9% relative to dry; ×0.79 relative to dry at 20 °C; ×0.57 relative to wet at 20 °C</w:t>
            </w:r>
          </w:p>
        </w:tc>
        <w:tc>
          <w:tcPr>
            <w:tcW w:type="dxa" w:w="199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n8rhldqgykijrxnhdyc0h">
              <w:r>
                <w:rPr>
                  <w:color w:val="0563C1"/>
                  <w:sz w:val="16"/>
                  <w:szCs w:val="16"/>
                  <w:u w:val="single"/>
                </w:rPr>
                <w:t xml:space="preserve">Chen et al. 2022</w:t>
              </w:r>
            </w:hyperlink>
            <w:r>
              <w:rPr>
                <w:sz w:val="16"/>
                <w:szCs w:val="16"/>
              </w:rPr>
              <w:t xml:space="preserve"> (ratios are calculations)</w:t>
            </w:r>
          </w:p>
        </w:tc>
      </w:tr>
      <w:tr>
        <w:trPr>
          <w:cantSplit/>
        </w:trPr>
        <w:tc>
          <w:tcPr>
            <w:tcW w:type="dxa" w:w="410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Fresh ATF film, twisted pair, room temperature</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PDIV and RPDIV ≈×3</w:t>
            </w:r>
          </w:p>
        </w:tc>
        <w:tc>
          <w:tcPr>
            <w:tcW w:type="dxa" w:w="199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cfhpecdr28mvkwxv80evd">
              <w:r>
                <w:rPr>
                  <w:color w:val="0563C1"/>
                  <w:sz w:val="16"/>
                  <w:szCs w:val="16"/>
                  <w:u w:val="single"/>
                </w:rPr>
                <w:t xml:space="preserve">Yang et al. 2022</w:t>
              </w:r>
            </w:hyperlink>
          </w:p>
        </w:tc>
      </w:tr>
      <w:tr>
        <w:trPr>
          <w:cantSplit/>
        </w:trPr>
        <w:tc>
          <w:tcPr>
            <w:tcW w:type="dxa" w:w="410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ATF spray onto a conductor at 180 °C, 50 µm gap</w:t>
            </w:r>
          </w:p>
        </w:tc>
        <w:tc>
          <w:tcPr>
            <w:tcW w:type="dxa" w:w="354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−10–15%, visible vapor</w:t>
            </w:r>
          </w:p>
        </w:tc>
        <w:tc>
          <w:tcPr>
            <w:tcW w:type="dxa" w:w="199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tgpydlncs_iwuncohrmd1">
              <w:r>
                <w:rPr>
                  <w:color w:val="0563C1"/>
                  <w:sz w:val="16"/>
                  <w:szCs w:val="16"/>
                  <w:u w:val="single"/>
                </w:rPr>
                <w:t xml:space="preserve">Martinez et al. 2025</w:t>
              </w:r>
            </w:hyperlink>
          </w:p>
        </w:tc>
      </w:tr>
      <w:tr>
        <w:trPr>
          <w:cantSplit/>
        </w:trPr>
        <w:tc>
          <w:tcPr>
            <w:tcW w:type="dxa" w:w="410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Conductive surface on one of the wires (graphite)</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975 → 665 V (−32%)</w:t>
            </w:r>
          </w:p>
        </w:tc>
        <w:tc>
          <w:tcPr>
            <w:tcW w:type="dxa" w:w="199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sccwzy2zw-o3eve__oexb">
              <w:r>
                <w:rPr>
                  <w:color w:val="0563C1"/>
                  <w:sz w:val="16"/>
                  <w:szCs w:val="16"/>
                  <w:u w:val="single"/>
                </w:rPr>
                <w:t xml:space="preserve">Liu et al. 2024</w:t>
              </w:r>
            </w:hyperlink>
          </w:p>
        </w:tc>
      </w:tr>
      <w:tr>
        <w:trPr>
          <w:cantSplit/>
        </w:trPr>
        <w:tc>
          <w:tcPr>
            <w:tcW w:type="dxa" w:w="410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Cu₂S, 500 / 1000 ppm DBDS (paper-wrapped copper, transformer oil)</w:t>
            </w:r>
          </w:p>
        </w:tc>
        <w:tc>
          <w:tcPr>
            <w:tcW w:type="dxa" w:w="354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PDIV −22% / −43%; PD 209 → 610 / 725 pC</w:t>
            </w:r>
          </w:p>
        </w:tc>
        <w:tc>
          <w:tcPr>
            <w:tcW w:type="dxa" w:w="1997"/>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mkdaezctyfmeqkn1dm_xb">
              <w:r>
                <w:rPr>
                  <w:color w:val="0563C1"/>
                  <w:sz w:val="16"/>
                  <w:szCs w:val="16"/>
                  <w:u w:val="single"/>
                </w:rPr>
                <w:t xml:space="preserve">Liao et al. 2015</w:t>
              </w:r>
            </w:hyperlink>
          </w:p>
        </w:tc>
      </w:tr>
      <w:tr>
        <w:trPr>
          <w:cantSplit/>
        </w:trPr>
        <w:tc>
          <w:tcPr>
            <w:tcW w:type="dxa" w:w="410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Metal particle / bubble in flowing oil</w:t>
            </w:r>
          </w:p>
        </w:tc>
        <w:tc>
          <w:tcPr>
            <w:tcW w:type="dxa" w:w="354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PDIV 8.4 / 23.2 kV; breakdown 42.0 / 31.6 kV</w:t>
            </w:r>
          </w:p>
        </w:tc>
        <w:tc>
          <w:tcPr>
            <w:tcW w:type="dxa" w:w="1997"/>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oqsnuvsgz4ra6yaqgloga">
              <w:r>
                <w:rPr>
                  <w:color w:val="0563C1"/>
                  <w:sz w:val="16"/>
                  <w:szCs w:val="16"/>
                  <w:u w:val="single"/>
                </w:rPr>
                <w:t xml:space="preserve">Zhao et al. 2022</w:t>
              </w:r>
            </w:hyperlink>
          </w:p>
        </w:tc>
      </w:tr>
    </w:tbl>
    <w:p>
      <w:pPr>
        <w:spacing w:after="120" w:before="0"/>
      </w:pPr>
    </w:p>
    <w:p>
      <w:r>
        <w:rPr>
          <w:sz w:val="20"/>
          <w:szCs w:val="20"/>
        </w:rPr>
        <w:t xml:space="preserve">These ratios can be compared with the factors in the IEC chain. Relative to dry at 20 °C, the hot wet case is ×0.79; IEC's EF_T = 1.3 corresponds to ×0.77, so the temperature factor only just covers the hot oiled case. When the aging loss (×0.60–0.76) is also added, the observed total penalty becomes ×0.47–0.60, which is 7–26% heavier than the ×0.64 predicted by IEC's EF_T × EF_age product (calculation; from different materials and setups). Since the transfer of the AC data on paper to turn insulation has not been verified, this is a comparison of magnitudes. Still, this is exactly the rationale for measuring the margin on a genuinely aged, hot and drained sample instead of estimating it with factors.</w:t>
      </w:r>
    </w:p>
    <w:p>
      <w:r>
        <w:rPr>
          <w:sz w:val="20"/>
          <w:szCs w:val="20"/>
        </w:rPr>
        <w:t xml:space="preserve">If the gap is truly filled with oil, PD is suppressed and the limit shifts to breakdown and bubbles. CIGRE's intrinsic aging tests immerse twisted pairs in silicone oil to prevent PD (</w:t>
      </w:r>
      <w:hyperlink w:history="1" r:id="rIdmbdrzlc2phuw7d63o_zyh">
        <w:r>
          <w:rPr>
            <w:color w:val="0563C1"/>
            <w:sz w:val="20"/>
            <w:szCs w:val="20"/>
            <w:u w:val="single"/>
          </w:rPr>
          <w:t xml:space="preserve">CIGRE WG D1.43</w:t>
        </w:r>
      </w:hyperlink>
      <w:r>
        <w:rPr>
          <w:sz w:val="20"/>
          <w:szCs w:val="20"/>
        </w:rPr>
        <w:t xml:space="preserve">); RWTH's oil-wetted windings likewise failed by breakdown, not by PD (</w:t>
      </w:r>
      <w:hyperlink w:history="1" r:id="rIdhgz5jw_dy752lp04ep63z">
        <w:r>
          <w:rPr>
            <w:color w:val="0563C1"/>
            <w:sz w:val="20"/>
            <w:szCs w:val="20"/>
            <w:u w:val="single"/>
          </w:rPr>
          <w:t xml:space="preserve">Yang et al. 2023</w:t>
        </w:r>
      </w:hyperlink>
      <w:r>
        <w:rPr>
          <w:sz w:val="20"/>
          <w:szCs w:val="20"/>
        </w:rPr>
        <w:t xml:space="preserve">). In flowing transformer oil, particles govern PD inception and bubbles govern breakdown (Table 4). In a winding that will operate continuously in oil, these two effects come together at the hot spot: it has been suggested that trace water in the oil can form bubbles when heated (</w:t>
      </w:r>
      <w:hyperlink w:history="1" r:id="rIdf8_jamunhdxopxjhqoomu">
        <w:r>
          <w:rPr>
            <w:color w:val="0563C1"/>
            <w:sz w:val="20"/>
            <w:szCs w:val="20"/>
            <w:u w:val="single"/>
          </w:rPr>
          <w:t xml:space="preserve">Chen et al. 2022</w:t>
        </w:r>
      </w:hyperlink>
      <w:r>
        <w:rPr>
          <w:sz w:val="20"/>
          <w:szCs w:val="20"/>
        </w:rPr>
        <w:t xml:space="preserve">), and in an oil-immersed winding model, dissolved gas and bubbles changed the PDIV behavior (</w:t>
      </w:r>
      <w:hyperlink w:history="1" r:id="rIdlvmgehdvl40pxub7erye3">
        <w:r>
          <w:rPr>
            <w:color w:val="0563C1"/>
            <w:sz w:val="20"/>
            <w:szCs w:val="20"/>
            <w:u w:val="single"/>
          </w:rPr>
          <w:t xml:space="preserve">Umemoto et al. 2026</w:t>
        </w:r>
      </w:hyperlink>
      <w:r>
        <w:rPr>
          <w:sz w:val="20"/>
          <w:szCs w:val="20"/>
        </w:rPr>
        <w:t xml:space="preserve">). At 1600 V, in gas-containing, oil-filled end-winding gaps, it may be breakdown strength rather than PDIV that limits the design (inference).</w:t>
      </w:r>
    </w:p>
    <w:p>
      <w:r>
        <w:rPr>
          <w:sz w:val="20"/>
          <w:szCs w:val="20"/>
        </w:rPr>
        <w:t xml:space="preserve">Conductive deposits eat further into the margin. In a twisted pair of class 220 rectangular enameled wire, coating one of the wires with graphite lowered the PDIV by 32%; the authors warn that a wire in a conductive medium or with a conductive surface may be limited to the PDIV of a single enamel layer (</w:t>
      </w:r>
      <w:hyperlink w:history="1" r:id="rIdasrjixo2ufxmfc35uz73f">
        <w:r>
          <w:rPr>
            <w:color w:val="0563C1"/>
            <w:sz w:val="20"/>
            <w:szCs w:val="20"/>
            <w:u w:val="single"/>
          </w:rPr>
          <w:t xml:space="preserve">Liu et al. 2024</w:t>
        </w:r>
      </w:hyperlink>
      <w:r>
        <w:rPr>
          <w:sz w:val="20"/>
          <w:szCs w:val="20"/>
        </w:rPr>
        <w:t xml:space="preserve">). On paper-wrapped copper, Cu₂S formed from DBDS lowered the PDIV by 22% and 43% and increased the PD magnitude more than threefold; under DC, space charge also increased in paper containing Cu₂S (</w:t>
      </w:r>
      <w:hyperlink w:history="1" r:id="rIdegyamgfsxrdmj8v7gtync">
        <w:r>
          <w:rPr>
            <w:color w:val="0563C1"/>
            <w:sz w:val="20"/>
            <w:szCs w:val="20"/>
            <w:u w:val="single"/>
          </w:rPr>
          <w:t xml:space="preserve">Liao et al. 2015</w:t>
        </w:r>
      </w:hyperlink>
      <w:r>
        <w:rPr>
          <w:sz w:val="20"/>
          <w:szCs w:val="20"/>
        </w:rPr>
        <w:t xml:space="preserve">). The results come from different materials, but they are directly relevant to the wrapped types in the stock: crevice corrosion under tape and glass becomes electrically active through this space charge mechanism if any DC component is present (inference). If the effects are multiplied, the PDIV of a hot, contaminated surface would be only ~0.45–0.54 of the dry room-temperature value; this combination has not yet been tested (calculation).</w:t>
      </w:r>
    </w:p>
    <w:p>
      <w:r>
        <w:rPr>
          <w:sz w:val="20"/>
          <w:szCs w:val="20"/>
        </w:rPr>
        <w:t xml:space="preserve">The fluid itself behaves differently depending on the type of voltage. Used ATFs showed a conductivity of 0.9–8 × 10⁻⁹ S/cm at 100 °C, and the conductivity rose because of oxidation and viscosity loss, not wear particles (</w:t>
      </w:r>
      <w:hyperlink w:history="1" r:id="rIdgi98vggzitopjfdyh-uz8">
        <w:r>
          <w:rPr>
            <w:color w:val="0563C1"/>
            <w:sz w:val="20"/>
            <w:szCs w:val="20"/>
            <w:u w:val="single"/>
          </w:rPr>
          <w:t xml:space="preserve">McFadden et al. 2016</w:t>
        </w:r>
      </w:hyperlink>
      <w:r>
        <w:rPr>
          <w:sz w:val="20"/>
          <w:szCs w:val="20"/>
        </w:rPr>
        <w:t xml:space="preserve">). An Infineum patent targets ≥44 MΩ·m at 80 °C (</w:t>
      </w:r>
      <w:hyperlink w:history="1" r:id="rIde7gt65h6cxc5hazybwnke">
        <w:r>
          <w:rPr>
            <w:color w:val="0563C1"/>
            <w:sz w:val="20"/>
            <w:szCs w:val="20"/>
            <w:u w:val="single"/>
          </w:rPr>
          <w:t xml:space="preserve">US 11,905,488 B2</w:t>
        </w:r>
      </w:hyperlink>
      <w:r>
        <w:rPr>
          <w:sz w:val="20"/>
          <w:szCs w:val="20"/>
        </w:rPr>
        <w:t xml:space="preserve">); a commercial e-fluid measured 1.9 × 10¹⁰ Ω·cm at room temperature (</w:t>
      </w:r>
      <w:hyperlink w:history="1" r:id="rIdny7dahdi_sd0h1z1bymcd">
        <w:r>
          <w:rPr>
            <w:color w:val="0563C1"/>
            <w:sz w:val="20"/>
            <w:szCs w:val="20"/>
            <w:u w:val="single"/>
          </w:rPr>
          <w:t xml:space="preserve">Sanyo 2026</w:t>
        </w:r>
      </w:hyperlink>
      <w:r>
        <w:rPr>
          <w:sz w:val="20"/>
          <w:szCs w:val="20"/>
        </w:rPr>
        <w:t xml:space="preserve">). With εr ≈2.1, the charge relaxation time over this range is between ~23 µs and 3.5 ms, and the crossover frequency between 6.9 kHz and 45 Hz (calculation). Hot oil therefore behaves capacitively only for the switching edges and carrier harmonics; for these components, oil, whose εr is close to that of aramid (2.5–2.7), relieves the gap markedly compared with air. For DC and slow components, however, the oil is many times more conductive than the polymer: the voltage falls almost entirely across the solid layers, and the oil-wetted surface behaves like an electrode extension that carries the copper's potential along the insulation. The field therefore concentrates at the insulation edge of stripped zones, cut ends and weld transitions; the result of the graphite experiment is consistent with this (inference). Water and oxidation lower the resistivity; ester base oils increased in water content and lost breakdown strength markedly after 1000 breakdown discharges (</w:t>
      </w:r>
      <w:hyperlink w:history="1" r:id="rIdjhtuuox04llkit67nnu9u">
        <w:r>
          <w:rPr>
            <w:color w:val="0563C1"/>
            <w:sz w:val="20"/>
            <w:szCs w:val="20"/>
            <w:u w:val="single"/>
          </w:rPr>
          <w:t xml:space="preserve">Tormos et al. 2023</w:t>
        </w:r>
      </w:hyperlink>
      <w:r>
        <w:rPr>
          <w:sz w:val="20"/>
          <w:szCs w:val="20"/>
        </w:rPr>
        <w:t xml:space="preserve">). As the voltage rises, the water content and resistivity of the oil become electrical variables as much as chemical ones.</w:t>
      </w:r>
    </w:p>
    <w:p>
      <w:r>
        <w:rPr>
          <w:sz w:val="20"/>
          <w:szCs w:val="20"/>
        </w:rPr>
        <w:t xml:space="preserve">Energized corrosion, however, has never been measured at high voltage. ASTM D8544-24, the conductive deposit test for e-fluids, applies a "monitored voltage" whose value is not disclosed and leaves the voltage modifiable "according to industry need" (</w:t>
      </w:r>
      <w:hyperlink w:history="1" r:id="rIdvt6yydjfmlkypl_akas9s">
        <w:r>
          <w:rPr>
            <w:color w:val="0563C1"/>
            <w:sz w:val="20"/>
            <w:szCs w:val="20"/>
            <w:u w:val="single"/>
          </w:rPr>
          <w:t xml:space="preserve">ASTM D8544-24</w:t>
        </w:r>
      </w:hyperlink>
      <w:r>
        <w:rPr>
          <w:sz w:val="20"/>
          <w:szCs w:val="20"/>
        </w:rPr>
        <w:t xml:space="preserve">). In Lubrizol's patent, copper boards are energized with "5 V" at 150 °C (</w:t>
      </w:r>
      <w:hyperlink w:history="1" r:id="rIdwkwyev_rlram7njmdb2fc">
        <w:r>
          <w:rPr>
            <w:color w:val="0563C1"/>
            <w:sz w:val="20"/>
            <w:szCs w:val="20"/>
            <w:u w:val="single"/>
          </w:rPr>
          <w:t xml:space="preserve">US 12,529,004 B2</w:t>
        </w:r>
      </w:hyperlink>
      <w:r>
        <w:rPr>
          <w:sz w:val="20"/>
          <w:szCs w:val="20"/>
        </w:rPr>
        <w:t xml:space="preserve">); Tannas's patent mentions a 100–1000 V option for boards with 0.1 and 1 mm gaps but gives no data at these voltages (</w:t>
      </w:r>
      <w:hyperlink w:history="1" r:id="rIdu6fltx3e7tyafjx-rjgf4">
        <w:r>
          <w:rPr>
            <w:color w:val="0563C1"/>
            <w:sz w:val="20"/>
            <w:szCs w:val="20"/>
            <w:u w:val="single"/>
          </w:rPr>
          <w:t xml:space="preserve">US 12,276,636 B2</w:t>
        </w:r>
      </w:hyperlink>
      <w:r>
        <w:rPr>
          <w:sz w:val="20"/>
          <w:szCs w:val="20"/>
        </w:rPr>
        <w:t xml:space="preserve">). At 0.1 mm, 5 V amounts to 0.05 kV/mm; at 1 mm, 800 V is </w:t>
      </w:r>
      <w:r>
        <w:rPr>
          <w:b/>
          <w:bCs/>
          <w:sz w:val="20"/>
          <w:szCs w:val="20"/>
        </w:rPr>
        <w:t xml:space="preserve">16</w:t>
      </w:r>
      <w:r>
        <w:rPr>
          <w:sz w:val="20"/>
          <w:szCs w:val="20"/>
        </w:rPr>
        <w:t xml:space="preserve"> times that and 1600 V </w:t>
      </w:r>
      <w:r>
        <w:rPr>
          <w:b/>
          <w:bCs/>
          <w:sz w:val="20"/>
          <w:szCs w:val="20"/>
        </w:rPr>
        <w:t xml:space="preserve">32</w:t>
      </w:r>
      <w:r>
        <w:rPr>
          <w:sz w:val="20"/>
          <w:szCs w:val="20"/>
        </w:rPr>
        <w:t xml:space="preserve"> times (calculation). Hunt of Lubrizol explains that the deposit bridges different phases of the winding to form a current path and heats up until the material decomposes, and that leakage currents lead to "energized corrosion" (</w:t>
      </w:r>
      <w:hyperlink w:history="1" r:id="rIdlt0le2_evwizozau_akvw">
        <w:r>
          <w:rPr>
            <w:color w:val="0563C1"/>
            <w:sz w:val="20"/>
            <w:szCs w:val="20"/>
            <w:u w:val="single"/>
          </w:rPr>
          <w:t xml:space="preserve">Gill 2021</w:t>
        </w:r>
      </w:hyperlink>
      <w:r>
        <w:rPr>
          <w:sz w:val="20"/>
          <w:szCs w:val="20"/>
        </w:rPr>
        <w:t xml:space="preserve">). Since the power in a bridging resistance is V²/R, the same deposit heats up 2.25 times as much at 1200 V and 4 times as much at 1600 V (calculation). According to Afton, dissolved copper ions migrate to the negative electrode and form branching dendrites; electrode spacing, voltage and additive chemistry affect this (</w:t>
      </w:r>
      <w:hyperlink w:history="1" r:id="rIdwfawmqvtfotomihn92bp0">
        <w:r>
          <w:rPr>
            <w:color w:val="0563C1"/>
            <w:sz w:val="20"/>
            <w:szCs w:val="20"/>
            <w:u w:val="single"/>
          </w:rPr>
          <w:t xml:space="preserve">Afton</w:t>
        </w:r>
      </w:hyperlink>
      <w:r>
        <w:rPr>
          <w:sz w:val="20"/>
          <w:szCs w:val="20"/>
        </w:rPr>
        <w:t xml:space="preserve">, search snippet only). While balanced bipolar PWM limits net ion migration, a DC component drags ions continuously; in an isolated HV system, an insulation fault on one rail can leave the winding at a DC voltage of up to the bus voltage relative to the chassis (inference, not verified). In hairpin windings, the places where these mechanisms come together are clear: the weld ends of different phases are bare copper facing bare copper across an oil or vapor gap, while stripped zones and cut ends are copper-insulation-oil triple points. The facts that on test laboratories' boards the failure sometimes appears only in the vapor phase (</w:t>
      </w:r>
      <w:hyperlink w:history="1" r:id="rIdpuoejis-euzeqnmdsvpbf">
        <w:r>
          <w:rPr>
            <w:color w:val="0563C1"/>
            <w:sz w:val="20"/>
            <w:szCs w:val="20"/>
            <w:u w:val="single"/>
          </w:rPr>
          <w:t xml:space="preserve">Savant Labs</w:t>
        </w:r>
      </w:hyperlink>
      <w:r>
        <w:rPr>
          <w:sz w:val="20"/>
          <w:szCs w:val="20"/>
        </w:rPr>
        <w:t xml:space="preserve">) and that vapor-phase corrosion in the stator of Scania buses that experienced hairpin corrosion was measured at ~10 times that of the oil phase (</w:t>
      </w:r>
      <w:hyperlink w:history="1" r:id="rIdpye-u92_ixhoi3zmdktps">
        <w:r>
          <w:rPr>
            <w:color w:val="0563C1"/>
            <w:sz w:val="20"/>
            <w:szCs w:val="20"/>
            <w:u w:val="single"/>
          </w:rPr>
          <w:t xml:space="preserve">Kamchev 2021</w:t>
        </w:r>
      </w:hyperlink>
      <w:r>
        <w:rPr>
          <w:sz w:val="20"/>
          <w:szCs w:val="20"/>
        </w:rPr>
        <w:t xml:space="preserve">) make the weld ends in the headspace important in their own right.</w:t>
      </w:r>
    </w:p>
    <w:p>
      <w:r>
        <w:rPr>
          <w:sz w:val="20"/>
          <w:szCs w:val="20"/>
        </w:rPr>
        <w:t xml:space="preserve">This evidence suggests that electrical aging in oil has two regimes (inference). In a cold, filled gap, below PDIV, ionic conduction and electrochemistry dominate; aging shows up as leakage current, deposits and electrochemical migration on exposed copper. In a hot, drained or bubbly gap, above PDIV, PD erosion dominates as in air, and hydrocarbon vapor can aggravate it. The crossing at ~100 °C shows that thin films at 150 °C are in the second regime. The glass-fiber stock types are the only group that moves back and forth between the two regimes: when cold, their pores are filled with oil; when hot and drained, they are empty. No publicly available study from 2015–2026 was found that applied AC, impulse or DC voltage to oil-immersed or oil-sprayed winding insulation and tracked the aging; HEFT and RWTH performed aging in oil without voltage, while Stuttgart performed aging under voltage but without oil (</w:t>
      </w:r>
      <w:hyperlink w:history="1" r:id="rIdqtjnkvyyrllu1zgov8fey">
        <w:r>
          <w:rPr>
            <w:color w:val="0563C1"/>
            <w:sz w:val="20"/>
            <w:szCs w:val="20"/>
            <w:u w:val="single"/>
          </w:rPr>
          <w:t xml:space="preserve">HEFT D2.4</w:t>
        </w:r>
      </w:hyperlink>
      <w:r>
        <w:rPr>
          <w:sz w:val="20"/>
          <w:szCs w:val="20"/>
        </w:rPr>
        <w:t xml:space="preserve">; </w:t>
      </w:r>
      <w:hyperlink w:history="1" r:id="rIddiu_vsggtevmmfqw45ibp">
        <w:r>
          <w:rPr>
            <w:color w:val="0563C1"/>
            <w:sz w:val="20"/>
            <w:szCs w:val="20"/>
            <w:u w:val="single"/>
          </w:rPr>
          <w:t xml:space="preserve">Peng et al. 2025</w:t>
        </w:r>
      </w:hyperlink>
      <w:r>
        <w:rPr>
          <w:sz w:val="20"/>
          <w:szCs w:val="20"/>
        </w:rPr>
        <w:t xml:space="preserve">; </w:t>
      </w:r>
      <w:hyperlink w:history="1" r:id="rIdswanjlmtxjdjyu1efjj2g">
        <w:r>
          <w:rPr>
            <w:color w:val="0563C1"/>
            <w:sz w:val="20"/>
            <w:szCs w:val="20"/>
            <w:u w:val="single"/>
          </w:rPr>
          <w:t xml:space="preserve">He et al. 2025</w:t>
        </w:r>
      </w:hyperlink>
      <w:r>
        <w:rPr>
          <w:sz w:val="20"/>
          <w:szCs w:val="20"/>
        </w:rPr>
        <w:t xml:space="preserve">). A test arm that combines voltage, temperature and oil is therefore new. There is a 2026 finite element PDIV model that includes cooling oil, rise time and overshoot factor as parameters, but its abstract gives no numbers (</w:t>
      </w:r>
      <w:hyperlink w:history="1" r:id="rIdkod_mcmov9agwfgpgjzcc">
        <w:r>
          <w:rPr>
            <w:color w:val="0563C1"/>
            <w:sz w:val="20"/>
            <w:szCs w:val="20"/>
            <w:u w:val="single"/>
          </w:rPr>
          <w:t xml:space="preserve">Elmezain et al. 2026</w:t>
        </w:r>
      </w:hyperlink>
      <w:r>
        <w:rPr>
          <w:sz w:val="20"/>
          <w:szCs w:val="20"/>
        </w:rPr>
        <w:t xml:space="preserve">); its full text is worth reading for comparison with the measured oiled PDIVs.</w:t>
      </w:r>
    </w:p>
    <w:p>
      <w:pPr>
        <w:pStyle w:val="Heading1"/>
      </w:pPr>
      <w:bookmarkStart w:name="_TocH010" w:id="11"/>
      <w:r>
        <w:t xml:space="preserve">The voltage dimension is added with three layers and 30–60 additional samples</w:t>
      </w:r>
      <w:bookmarkEnd w:id="11"/>
    </w:p>
    <w:p>
      <w:pPr>
        <w:pStyle w:val="Heading2"/>
      </w:pPr>
      <w:bookmarkStart w:name="_TocH011" w:id="12"/>
      <w:r>
        <w:t xml:space="preserve">Make voltage an evaluation axis, not an aging axis</w:t>
      </w:r>
      <w:bookmarkEnd w:id="12"/>
    </w:p>
    <w:p>
      <w:r>
        <w:rPr>
          <w:sz w:val="20"/>
          <w:szCs w:val="20"/>
        </w:rPr>
        <w:t xml:space="preserve">The chemistry of voltage-free oil aging is independent of the bus voltage; the bus class changes not the condition under which the sample ages, but what the measured value is evaluated against. Adding voltage as an aging factor to the cells aging in oil would require 8 types × 3 oil conditions × 3 models × 5 samples × 3 classes ≈ </w:t>
      </w:r>
      <w:r>
        <w:rPr>
          <w:b/>
          <w:bCs/>
          <w:sz w:val="20"/>
          <w:szCs w:val="20"/>
        </w:rPr>
        <w:t xml:space="preserve">1080 energized samples and 72 energized vessels</w:t>
      </w:r>
      <w:r>
        <w:rPr>
          <w:sz w:val="20"/>
          <w:szCs w:val="20"/>
        </w:rPr>
        <w:t xml:space="preserve">; the three-layer design below, by contrast, adds </w:t>
      </w:r>
      <w:r>
        <w:rPr>
          <w:b/>
          <w:bCs/>
          <w:sz w:val="20"/>
          <w:szCs w:val="20"/>
        </w:rPr>
        <w:t xml:space="preserve">30–60 new samples</w:t>
      </w:r>
      <w:r>
        <w:rPr>
          <w:sz w:val="20"/>
          <w:szCs w:val="20"/>
        </w:rPr>
        <w:t xml:space="preserve"> (calculation). </w:t>
      </w:r>
      <w:r>
        <w:rPr>
          <w:b/>
          <w:bCs/>
          <w:sz w:val="20"/>
          <w:szCs w:val="20"/>
        </w:rPr>
        <w:t xml:space="preserve">Layer 1</w:t>
      </w:r>
      <w:r>
        <w:rPr>
          <w:sz w:val="20"/>
          <w:szCs w:val="20"/>
        </w:rPr>
        <w:t xml:space="preserve"> adds measurement time, not samples. At every measurement point (dry reference, air-aged control at the same temperature and duration, t1, t2 and, if needed, t3 in oil), every sample is measured for AC PDIV and PDEV at room temperature and at the aging temperature. The result is reported per path as </w:t>
      </w:r>
      <w:r>
        <w:rPr>
          <w:b/>
          <w:bCs/>
          <w:sz w:val="20"/>
          <w:szCs w:val="20"/>
        </w:rPr>
        <w:t xml:space="preserve">Udc,perm = PDIV_stat / (OF·WF·EF)</w:t>
      </w:r>
      <w:r>
        <w:rPr>
          <w:sz w:val="20"/>
          <w:szCs w:val="20"/>
        </w:rPr>
        <w:t xml:space="preserve">; PDIV_stat is the mean − 3σ or the Weibull B10, and the denominator is the multiplier of the declared framework (for example, 2·OF for HEFT P/P and 2·OF·1.25 for IEC hot-aged P/P). Because the targets scale linearly with Udc (</w:t>
      </w:r>
      <w:hyperlink w:history="1" r:id="rId9ynblo95f1olshpselphq">
        <w:r>
          <w:rPr>
            <w:color w:val="0563C1"/>
            <w:sz w:val="20"/>
            <w:szCs w:val="20"/>
            <w:u w:val="single"/>
          </w:rPr>
          <w:t xml:space="preserve">Lusuardi et al. 2021</w:t>
        </w:r>
      </w:hyperlink>
      <w:r>
        <w:rPr>
          <w:sz w:val="20"/>
          <w:szCs w:val="20"/>
        </w:rPr>
        <w:t xml:space="preserve">), 800, 1200 and 1600 V become three horizontal lines on this axis. Each type's Udc,perm(t) curve shows directly how fast the oil erodes that type's voltage capability, and another bus voltage can also be read from the same data in the future (inference). Holding the air-aged control at the same temperature and duration is critical: because Chalmers' air control was run at a different temperature and duration, the effect of the oil could not be separated from the thermal effect (</w:t>
      </w:r>
      <w:hyperlink w:history="1" r:id="rId9pdmpu1qii1xateyysyx9">
        <w:r>
          <w:rPr>
            <w:color w:val="0563C1"/>
            <w:sz w:val="20"/>
            <w:szCs w:val="20"/>
            <w:u w:val="single"/>
          </w:rPr>
          <w:t xml:space="preserve">Chalmers TR 2025:1</w:t>
        </w:r>
      </w:hyperlink>
      <w:r>
        <w:rPr>
          <w:sz w:val="20"/>
          <w:szCs w:val="20"/>
        </w:rPr>
        <w:t xml:space="preserve">). </w:t>
      </w:r>
      <w:r>
        <w:rPr>
          <w:b/>
          <w:bCs/>
          <w:sz w:val="20"/>
          <w:szCs w:val="20"/>
        </w:rPr>
        <w:t xml:space="preserve">Layer 2</w:t>
      </w:r>
      <w:r>
        <w:rPr>
          <w:sz w:val="20"/>
          <w:szCs w:val="20"/>
        </w:rPr>
        <w:t xml:space="preserve"> also adds only measurements: in each cell, RPDIV and RPDEV are measured with a bipolar ≤100 ns impulse on 2 of the 5 samples (or on all of them at the end of the test), and the equivalence between AC and impulse is verified for each type. </w:t>
      </w:r>
      <w:r>
        <w:rPr>
          <w:b/>
          <w:bCs/>
          <w:sz w:val="20"/>
          <w:szCs w:val="20"/>
        </w:rPr>
        <w:t xml:space="preserve">Layer 3</w:t>
      </w:r>
      <w:r>
        <w:rPr>
          <w:sz w:val="20"/>
          <w:szCs w:val="20"/>
        </w:rPr>
        <w:t xml:space="preserve"> is the energized subgroup that requires new samples; it is described below.</w:t>
      </w:r>
    </w:p>
    <w:p>
      <w:pPr>
        <w:pStyle w:val="Heading2"/>
      </w:pPr>
      <w:bookmarkStart w:name="_TocH012" w:id="13"/>
      <w:r>
        <w:t xml:space="preserve">Four models, three wetness states, two temperatures</w:t>
      </w:r>
      <w:bookmarkEnd w:id="13"/>
    </w:p>
    <w:p>
      <w:r>
        <w:rPr>
          <w:sz w:val="20"/>
          <w:szCs w:val="20"/>
        </w:rPr>
        <w:t xml:space="preserve">Each path needs its own model, and all of them should be cut from the same conductor cross-section and corner radius. For T/T, back-to-back pairs with 150 mm of contact, in broad-face and edge contact, should be used; for P/P, parallel conductors with gaps of 0, 50 and 100 µm in ceramic (MACOR) holders; for P/G, a conductor on a grounded plate and, if the liner is part of the study, a lined slot model. A subgroup should also include the hairpin formette from IEC TS 61857-42 Annex B or a 30 cm in-slot hairpin (</w:t>
      </w:r>
      <w:hyperlink w:history="1" r:id="rIdmfegkiyhjxfhxyx54bmoh">
        <w:r>
          <w:rPr>
            <w:color w:val="0563C1"/>
            <w:sz w:val="20"/>
            <w:szCs w:val="20"/>
            <w:u w:val="single"/>
          </w:rPr>
          <w:t xml:space="preserve">SEARI 2025</w:t>
        </w:r>
      </w:hyperlink>
      <w:r>
        <w:rPr>
          <w:sz w:val="20"/>
          <w:szCs w:val="20"/>
        </w:rPr>
        <w:t xml:space="preserve">; </w:t>
      </w:r>
      <w:hyperlink w:history="1" r:id="rIdqoluyfsekzwxwnelubnpm">
        <w:r>
          <w:rPr>
            <w:color w:val="0563C1"/>
            <w:sz w:val="20"/>
            <w:szCs w:val="20"/>
            <w:u w:val="single"/>
          </w:rPr>
          <w:t xml:space="preserve">HEFT D2.4</w:t>
        </w:r>
      </w:hyperlink>
      <w:r>
        <w:rPr>
          <w:sz w:val="20"/>
          <w:szCs w:val="20"/>
        </w:rPr>
        <w:t xml:space="preserve">; </w:t>
      </w:r>
      <w:hyperlink w:history="1" r:id="rIdhkyrskslgxrcgup6oxovh">
        <w:r>
          <w:rPr>
            <w:color w:val="0563C1"/>
            <w:sz w:val="20"/>
            <w:szCs w:val="20"/>
            <w:u w:val="single"/>
          </w:rPr>
          <w:t xml:space="preserve">IEC TS 61857-42 preview</w:t>
        </w:r>
      </w:hyperlink>
      <w:r>
        <w:rPr>
          <w:sz w:val="20"/>
          <w:szCs w:val="20"/>
        </w:rPr>
        <w:t xml:space="preserve">; </w:t>
      </w:r>
      <w:hyperlink w:history="1" r:id="rIdokd-1mpgx09opgmqyz6hl">
        <w:r>
          <w:rPr>
            <w:color w:val="0563C1"/>
            <w:sz w:val="20"/>
            <w:szCs w:val="20"/>
            <w:u w:val="single"/>
          </w:rPr>
          <w:t xml:space="preserve">He et al. 2025</w:t>
        </w:r>
      </w:hyperlink>
      <w:r>
        <w:rPr>
          <w:sz w:val="20"/>
          <w:szCs w:val="20"/>
        </w:rPr>
        <w:t xml:space="preserve">). Only the P/P and P/G models need the high-voltage range of 1200 and 1600 V. So that the number of models does not multiply the number of samples, the same aged conductor pair can be measured first at zero gap, then at 50 and 100 µm with ceramic spacers, and individually on the grounded plate; the measurement order should be kept fixed (recommendation). Whether the measurement itself ages the samples can be monitored with Stuttgart's design: in half of the groups RPDIV was measured every 24–96 h, in the other half only at the start and end, and the failure rates remained "largely unaffected" at 29.5% and 20.5% (</w:t>
      </w:r>
      <w:hyperlink w:history="1" r:id="rIdakbahhvzijzr4brmvyqed">
        <w:r>
          <w:rPr>
            <w:color w:val="0563C1"/>
            <w:sz w:val="20"/>
            <w:szCs w:val="20"/>
            <w:u w:val="single"/>
          </w:rPr>
          <w:t xml:space="preserve">He et al. 2025</w:t>
        </w:r>
      </w:hyperlink>
      <w:r>
        <w:rPr>
          <w:sz w:val="20"/>
          <w:szCs w:val="20"/>
        </w:rPr>
        <w:t xml:space="preserve">). Precedents for samples per cell are ≥5 in IEC 60034-18-41 qualification (</w:t>
      </w:r>
      <w:hyperlink w:history="1" r:id="rIdystcwpswnjjdpkut-wsxz">
        <w:r>
          <w:rPr>
            <w:color w:val="0563C1"/>
            <w:sz w:val="20"/>
            <w:szCs w:val="20"/>
            <w:u w:val="single"/>
          </w:rPr>
          <w:t xml:space="preserve">Lusuardi et al. 2021</w:t>
        </w:r>
      </w:hyperlink>
      <w:r>
        <w:rPr>
          <w:sz w:val="20"/>
          <w:szCs w:val="20"/>
        </w:rPr>
        <w:t xml:space="preserve">), 7 per measurement point at RWTH (</w:t>
      </w:r>
      <w:hyperlink w:history="1" r:id="rIdkjdj4rbmpapmkalalogqq">
        <w:r>
          <w:rPr>
            <w:color w:val="0563C1"/>
            <w:sz w:val="20"/>
            <w:szCs w:val="20"/>
            <w:u w:val="single"/>
          </w:rPr>
          <w:t xml:space="preserve">Peng et al. 2025</w:t>
        </w:r>
      </w:hyperlink>
      <w:r>
        <w:rPr>
          <w:sz w:val="20"/>
          <w:szCs w:val="20"/>
        </w:rPr>
        <w:t xml:space="preserve">) and 10 pairs split 5 + 5 in IEC 60851-4 Test 20 (</w:t>
      </w:r>
      <w:hyperlink w:history="1" r:id="rIdmakhwg5wjlpz0e8z8b9iw">
        <w:r>
          <w:rPr>
            <w:color w:val="0563C1"/>
            <w:sz w:val="20"/>
            <w:szCs w:val="20"/>
            <w:u w:val="single"/>
          </w:rPr>
          <w:t xml:space="preserve">IEC 60851-4</w:t>
        </w:r>
      </w:hyperlink>
      <w:r>
        <w:rPr>
          <w:sz w:val="20"/>
          <w:szCs w:val="20"/>
        </w:rPr>
        <w:t xml:space="preserve">). If a two-conductor model cannot be built on edgewise- and flatwise-bent samples, P/G can be measured with conductive foil or a metal ball bath; however, there is no numerical comparison of these methods on hairpins in the open literature (</w:t>
      </w:r>
      <w:hyperlink w:history="1" r:id="rIdwr2shoxzfpa2jcwfffygb">
        <w:r>
          <w:rPr>
            <w:color w:val="0563C1"/>
            <w:sz w:val="20"/>
            <w:szCs w:val="20"/>
            <w:u w:val="single"/>
          </w:rPr>
          <w:t xml:space="preserve">Kilper et al. 2020</w:t>
        </w:r>
      </w:hyperlink>
      <w:r>
        <w:rPr>
          <w:sz w:val="20"/>
          <w:szCs w:val="20"/>
        </w:rPr>
        <w:t xml:space="preserve">).</w:t>
      </w:r>
    </w:p>
    <w:p>
      <w:r>
        <w:rPr>
          <w:sz w:val="20"/>
          <w:szCs w:val="20"/>
        </w:rPr>
        <w:t xml:space="preserve">Because, for a sample taken out of oil, the measurement state can change the result more than the bus voltage difference does, three states should be kept separate: S1 "as removed, surface oil blotted with absorbent paper", S2 "drained and dried at 125 °C for 30 minutes" (separates reversible absorption from permanent damage) and the optional S3 "solvent-cleaned" (</w:t>
      </w:r>
      <w:hyperlink w:history="1" r:id="rIdjqozclia16mamvqn81jsv">
        <w:r>
          <w:rPr>
            <w:color w:val="0563C1"/>
            <w:sz w:val="20"/>
            <w:szCs w:val="20"/>
            <w:u w:val="single"/>
          </w:rPr>
          <w:t xml:space="preserve">T/CAQI draft</w:t>
        </w:r>
      </w:hyperlink>
      <w:r>
        <w:rPr>
          <w:sz w:val="20"/>
          <w:szCs w:val="20"/>
        </w:rPr>
        <w:t xml:space="preserve">; </w:t>
      </w:r>
      <w:hyperlink w:history="1" r:id="rIdhpeeeapkuwq2rsj9aenkx">
        <w:r>
          <w:rPr>
            <w:color w:val="0563C1"/>
            <w:sz w:val="20"/>
            <w:szCs w:val="20"/>
            <w:u w:val="single"/>
          </w:rPr>
          <w:t xml:space="preserve">IEC 60851-4</w:t>
        </w:r>
      </w:hyperlink>
      <w:r>
        <w:rPr>
          <w:sz w:val="20"/>
          <w:szCs w:val="20"/>
        </w:rPr>
        <w:t xml:space="preserve">). For a winding that will operate continuously in oil, an S0 "in the oil cell" measurement representing the filled gap is also meaningful, but it should be labeled separately: the value of an immersed sample should never be reported as an air-gap PDIV, because the oil suppresses PD and the result describes a different gap (</w:t>
      </w:r>
      <w:hyperlink w:history="1" r:id="rIdrpvddjqw1sglgvelztvwt">
        <w:r>
          <w:rPr>
            <w:color w:val="0563C1"/>
            <w:sz w:val="20"/>
            <w:szCs w:val="20"/>
            <w:u w:val="single"/>
          </w:rPr>
          <w:t xml:space="preserve">CIGRE WG D1.43</w:t>
        </w:r>
      </w:hyperlink>
      <w:r>
        <w:rPr>
          <w:sz w:val="20"/>
          <w:szCs w:val="20"/>
        </w:rPr>
        <w:t xml:space="preserve">). Each state should be measured at room temperature and at the aging temperature (e.g., 150–180 °C), at constant relative humidity, after a 10-minute soak at temperature, with three readings per sample taken 60 s apart (</w:t>
      </w:r>
      <w:hyperlink w:history="1" r:id="rIdgchtikhuxrwdemh_juk95">
        <w:r>
          <w:rPr>
            <w:color w:val="0563C1"/>
            <w:sz w:val="20"/>
            <w:szCs w:val="20"/>
            <w:u w:val="single"/>
          </w:rPr>
          <w:t xml:space="preserve">Lusuardi et al. 2021</w:t>
        </w:r>
      </w:hyperlink>
      <w:r>
        <w:rPr>
          <w:sz w:val="20"/>
          <w:szCs w:val="20"/>
        </w:rPr>
        <w:t xml:space="preserve">; </w:t>
      </w:r>
      <w:hyperlink w:history="1" r:id="rId8qgjwylime669zstugglp">
        <w:r>
          <w:rPr>
            <w:color w:val="0563C1"/>
            <w:sz w:val="20"/>
            <w:szCs w:val="20"/>
            <w:u w:val="single"/>
          </w:rPr>
          <w:t xml:space="preserve">Elorza Azpiazu et al. 2023</w:t>
        </w:r>
      </w:hyperlink>
      <w:r>
        <w:rPr>
          <w:sz w:val="20"/>
          <w:szCs w:val="20"/>
        </w:rPr>
        <w:t xml:space="preserve">); barometric pressure should also be recorded. Temperature changed PDIV by 15% from 20 to 200 °C, pressure by 42% from 1000 to 200 mbar and relative humidity by 24% from 60% to 85% (</w:t>
      </w:r>
      <w:hyperlink w:history="1" r:id="rIdgqgjiks6rqk4acwulemeq">
        <w:r>
          <w:rPr>
            <w:color w:val="0563C1"/>
            <w:sz w:val="20"/>
            <w:szCs w:val="20"/>
            <w:u w:val="single"/>
          </w:rPr>
          <w:t xml:space="preserve">Driendl et al. 2022</w:t>
        </w:r>
      </w:hyperlink>
      <w:r>
        <w:rPr>
          <w:sz w:val="20"/>
          <w:szCs w:val="20"/>
        </w:rPr>
        <w:t xml:space="preserve">). The 20–26% loss at 95% relative humidity, on the other hand, came not from the polymer but from Na, K and Cl left by hand contact (</w:t>
      </w:r>
      <w:hyperlink w:history="1" r:id="rIdsql_khafori6mwklxzash">
        <w:r>
          <w:rPr>
            <w:color w:val="0563C1"/>
            <w:sz w:val="20"/>
            <w:szCs w:val="20"/>
            <w:u w:val="single"/>
          </w:rPr>
          <w:t xml:space="preserve">Furukawa Review 45</w:t>
        </w:r>
      </w:hyperlink>
      <w:r>
        <w:rPr>
          <w:sz w:val="20"/>
          <w:szCs w:val="20"/>
        </w:rPr>
        <w:t xml:space="preserve">); gloves and documented cleaning are essential. Water in the oil should be measured at the start and end by Karl Fischer, resistivity by IEC 60247 or ASTM D1169, and Cu and S by ICP (recommendation).</w:t>
      </w:r>
    </w:p>
    <w:p>
      <w:pPr>
        <w:pStyle w:val="Heading2"/>
      </w:pPr>
      <w:bookmarkStart w:name="_TocH013" w:id="14"/>
      <w:r>
        <w:t xml:space="preserve">5 kV rms AC covers all classes, the impulse source does not</w:t>
      </w:r>
      <w:bookmarkEnd w:id="14"/>
    </w:p>
    <w:p>
      <w:r>
        <w:rPr>
          <w:sz w:val="20"/>
          <w:szCs w:val="20"/>
        </w:rPr>
        <w:t xml:space="preserve">The measurement method is the same for all three classes; only the targets and the voltage range of the source change. Impulse measurements are based on IEC TS 61934:2024 and IEC TS 60034-27-5:2021. Both define RPDIV as the lowest peak-to-peak voltage at which PD is seen in more than five of ten impulses of the same polarity; 60034-27-5 includes the step-by-step method defined by starting voltage, step, number of impulses and rest time, as well as preconditioning and the 50% PD probability (</w:t>
      </w:r>
      <w:hyperlink w:history="1" r:id="rIdhw4n50v_3cibruamej3l_">
        <w:r>
          <w:rPr>
            <w:color w:val="0563C1"/>
            <w:sz w:val="20"/>
            <w:szCs w:val="20"/>
            <w:u w:val="single"/>
          </w:rPr>
          <w:t xml:space="preserve">IEC TS 60034-27-5 preview</w:t>
        </w:r>
      </w:hyperlink>
      <w:r>
        <w:rPr>
          <w:sz w:val="20"/>
          <w:szCs w:val="20"/>
        </w:rPr>
        <w:t xml:space="preserve">). The 2024 edition updated the generator values for wide-bandgap semiconductors (rise time 0.02–1 µs, repetition rate 1 Hz–10 kHz) and prefers the bipolar impulse to mimic the motor's turn voltage. It also dropped the definition of charge measurement in pC, requires a mandatory sensitivity and noise check before mV readings, and stipulates that the waveform be observed at the sample terminals with an oscilloscope of at least 100 MHz (</w:t>
      </w:r>
      <w:hyperlink w:history="1" r:id="rIdu51f8k5za1apujqnqlzcz">
        <w:r>
          <w:rPr>
            <w:color w:val="0563C1"/>
            <w:sz w:val="20"/>
            <w:szCs w:val="20"/>
            <w:u w:val="single"/>
          </w:rPr>
          <w:t xml:space="preserve">IEC TS 61934:2024 preview</w:t>
        </w:r>
      </w:hyperlink>
      <w:r>
        <w:rPr>
          <w:sz w:val="20"/>
          <w:szCs w:val="20"/>
        </w:rPr>
        <w:t xml:space="preserve">). In capacitive models such as the twisted pair, AC and impulse give the same PDIV at the same peak-to-peak voltage (</w:t>
      </w:r>
      <w:hyperlink w:history="1" r:id="rIdf-przmsyjatjajvtji1r1">
        <w:r>
          <w:rPr>
            <w:color w:val="0563C1"/>
            <w:sz w:val="20"/>
            <w:szCs w:val="20"/>
            <w:u w:val="single"/>
          </w:rPr>
          <w:t xml:space="preserve">Lusuardi et al. 2021</w:t>
        </w:r>
      </w:hyperlink>
      <w:r>
        <w:rPr>
          <w:sz w:val="20"/>
          <w:szCs w:val="20"/>
        </w:rPr>
        <w:t xml:space="preserve">); 50 Hz AC PDIV is therefore an inexpensive screening tool if it is reported as Vpp (rms × 2√2). But because the waveform can change PDIV by more than a factor of two (</w:t>
      </w:r>
      <w:hyperlink w:history="1" r:id="rIdkvqcqa0ki_vpeulxerzq3">
        <w:r>
          <w:rPr>
            <w:color w:val="0563C1"/>
            <w:sz w:val="20"/>
            <w:szCs w:val="20"/>
            <w:u w:val="single"/>
          </w:rPr>
          <w:t xml:space="preserve">Pauli et al. 2020</w:t>
        </w:r>
      </w:hyperlink>
      <w:r>
        <w:rPr>
          <w:sz w:val="20"/>
          <w:szCs w:val="20"/>
        </w:rPr>
        <w:t xml:space="preserve">), every result should be reported together with the waveform, polarity, rise time, threshold and ambient conditions. The PDIV/PDEV ratio was measured in the range 1.02–1.57, and the standard's 1.25 may fall short (</w:t>
      </w:r>
      <w:hyperlink w:history="1" r:id="rIdu5unrp61ykwgzz7oeiqlv">
        <w:r>
          <w:rPr>
            <w:color w:val="0563C1"/>
            <w:sz w:val="20"/>
            <w:szCs w:val="20"/>
            <w:u w:val="single"/>
          </w:rPr>
          <w:t xml:space="preserve">Driendl et al. 2022</w:t>
        </w:r>
      </w:hyperlink>
      <w:r>
        <w:rPr>
          <w:sz w:val="20"/>
          <w:szCs w:val="20"/>
        </w:rPr>
        <w:t xml:space="preserve">); PDEV should be recorded on every sample. For PD detection under impulses, the antenna gave better results than current measurement; MOSFET switching noise is concentrated at 0–200 MHz, and PD separates out between this band and 2.4 GHz (</w:t>
      </w:r>
      <w:hyperlink w:history="1" r:id="rId8l7lwdutf0abc-jtufkzd">
        <w:r>
          <w:rPr>
            <w:color w:val="0563C1"/>
            <w:sz w:val="20"/>
            <w:szCs w:val="20"/>
            <w:u w:val="single"/>
          </w:rPr>
          <w:t xml:space="preserve">Driendl et al. 2022</w:t>
        </w:r>
      </w:hyperlink>
      <w:r>
        <w:rPr>
          <w:sz w:val="20"/>
          <w:szCs w:val="20"/>
        </w:rPr>
        <w:t xml:space="preserve">). An HFCT was abandoned because it showed severe oscillation on the rising edge and missed PD on the falling edge (</w:t>
      </w:r>
      <w:hyperlink w:history="1" r:id="rIdi9363g71yiefobto-g0pj">
        <w:r>
          <w:rPr>
            <w:color w:val="0563C1"/>
            <w:sz w:val="20"/>
            <w:szCs w:val="20"/>
            <w:u w:val="single"/>
          </w:rPr>
          <w:t xml:space="preserve">Hu et al. 2021</w:t>
        </w:r>
      </w:hyperlink>
      <w:r>
        <w:rPr>
          <w:sz w:val="20"/>
          <w:szCs w:val="20"/>
        </w:rPr>
        <w:t xml:space="preserve">).</w:t>
      </w:r>
    </w:p>
    <w:p>
      <w:r>
        <w:rPr>
          <w:sz w:val="20"/>
          <w:szCs w:val="20"/>
        </w:rPr>
        <w:t xml:space="preserve">The only part of the equipment that changes with class is the source voltage. The P/P targets in Table 2 are 1.9–4.7 at 800 V, 2.9–7.0 at 1200 V and 3.8–9.4 kVpp at 1600 V; a ±2.5 kV impulse source (5 kVpp) covers only 800 V (calculation). Commercial instruments fall into two groups. One group goes up to 6–15 kV (40 kV with a power pack) but produces a damped oscillatory impulse and does not publish the rise time (</w:t>
      </w:r>
      <w:hyperlink w:history="1" r:id="rIduzxn_uurwjzxxinqh5fts">
        <w:r>
          <w:rPr>
            <w:color w:val="0563C1"/>
            <w:sz w:val="20"/>
            <w:szCs w:val="20"/>
            <w:u w:val="single"/>
          </w:rPr>
          <w:t xml:space="preserve">Schleich</w:t>
        </w:r>
      </w:hyperlink>
      <w:r>
        <w:rPr>
          <w:sz w:val="20"/>
          <w:szCs w:val="20"/>
        </w:rPr>
        <w:t xml:space="preserve">; </w:t>
      </w:r>
      <w:hyperlink w:history="1" r:id="rId4w0djjnlcmhczllhmn_xb">
        <w:r>
          <w:rPr>
            <w:color w:val="0563C1"/>
            <w:sz w:val="20"/>
            <w:szCs w:val="20"/>
            <w:u w:val="single"/>
          </w:rPr>
          <w:t xml:space="preserve">Electrom iTIG IV</w:t>
        </w:r>
      </w:hyperlink>
      <w:r>
        <w:rPr>
          <w:sz w:val="20"/>
          <w:szCs w:val="20"/>
        </w:rPr>
        <w:t xml:space="preserve">); the other group delivers a 150 or 500 ns PWM impulse at ±2.5 kV (</w:t>
      </w:r>
      <w:hyperlink w:history="1" r:id="rIdq3xhgbx1cciv9gekkgslc">
        <w:r>
          <w:rPr>
            <w:color w:val="0563C1"/>
            <w:sz w:val="20"/>
            <w:szCs w:val="20"/>
            <w:u w:val="single"/>
          </w:rPr>
          <w:t xml:space="preserve">Solfas STA</w:t>
        </w:r>
      </w:hyperlink>
      <w:r>
        <w:rPr>
          <w:sz w:val="20"/>
          <w:szCs w:val="20"/>
        </w:rPr>
        <w:t xml:space="preserve">). Published laboratory SiC generators reach 100 ns at 7 kV unipolar or ±3.5 kV bipolar (</w:t>
      </w:r>
      <w:hyperlink w:history="1" r:id="rIdhsmjlrmnshupfbiuzdlof">
        <w:r>
          <w:rPr>
            <w:color w:val="0563C1"/>
            <w:sz w:val="20"/>
            <w:szCs w:val="20"/>
            <w:u w:val="single"/>
          </w:rPr>
          <w:t xml:space="preserve">Hu et al. 2021</w:t>
        </w:r>
      </w:hyperlink>
      <w:r>
        <w:rPr>
          <w:sz w:val="20"/>
          <w:szCs w:val="20"/>
        </w:rPr>
        <w:t xml:space="preserve">) and 48 ns at 5 kV with series-connected 1700 V MOSFETs (</w:t>
      </w:r>
      <w:hyperlink w:history="1" r:id="rIdybqeac077xsudx-c26mpt">
        <w:r>
          <w:rPr>
            <w:color w:val="0563C1"/>
            <w:sz w:val="20"/>
            <w:szCs w:val="20"/>
            <w:u w:val="single"/>
          </w:rPr>
          <w:t xml:space="preserve">RSI 2021</w:t>
        </w:r>
      </w:hyperlink>
      <w:r>
        <w:rPr>
          <w:sz w:val="20"/>
          <w:szCs w:val="20"/>
        </w:rPr>
        <w:t xml:space="preserve">); no verified commercial bipolar source delivering ≤50 ns at ≥±4 kV could be found. The P/P and P/G margin measurements for 1200 and 1600 V should therefore in practice be made with AC; an AC PD system of ~5 kV rms (≈14 kVpp) covers every class.</w:t>
      </w:r>
    </w:p>
    <w:p>
      <w:r>
        <w:rPr>
          <w:b/>
          <w:bCs/>
          <w:sz w:val="20"/>
          <w:szCs w:val="20"/>
        </w:rPr>
        <w:t xml:space="preserve">Table 5. Equipment for the voltage dimension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4"/>
        <w:gridCol w:w="4465"/>
        <w:gridCol w:w="2008"/>
        <w:gridCol w:w="1861"/>
      </w:tblGrid>
      <w:tr>
        <w:trPr>
          <w:cantSplit/>
          <w:tblHeader/>
        </w:trPr>
        <w:tc>
          <w:tcPr>
            <w:tcW w:type="dxa" w:w="1304"/>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Equipment</w:t>
            </w:r>
          </w:p>
        </w:tc>
        <w:tc>
          <w:tcPr>
            <w:tcW w:type="dxa" w:w="446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Minimum specification</w:t>
            </w:r>
          </w:p>
        </w:tc>
        <w:tc>
          <w:tcPr>
            <w:tcW w:type="dxa" w:w="2008"/>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Use</w:t>
            </w:r>
          </w:p>
        </w:tc>
        <w:tc>
          <w:tcPr>
            <w:tcW w:type="dxa" w:w="1861"/>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Basis</w:t>
            </w:r>
          </w:p>
        </w:tc>
      </w:tr>
      <w:tr>
        <w:trPr>
          <w:cantSplit/>
        </w:trPr>
        <w:tc>
          <w:tcPr>
            <w:tcW w:type="dxa" w:w="130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AC PD system (IEC 60270)</w:t>
            </w:r>
          </w:p>
        </w:tc>
        <w:tc>
          <w:tcPr>
            <w:tcW w:type="dxa" w:w="446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~5 kV rms (≈14 kVpp); HFCT or 1 nF coupling capacitor; fixed pC threshold</w:t>
            </w:r>
          </w:p>
        </w:tc>
        <w:tc>
          <w:tcPr>
            <w:tcW w:type="dxa" w:w="200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Screening and margin measurement in all classes and paths</w:t>
            </w:r>
          </w:p>
        </w:tc>
        <w:tc>
          <w:tcPr>
            <w:tcW w:type="dxa" w:w="186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l0bdzjsmnynesdc3etotw">
              <w:r>
                <w:rPr>
                  <w:color w:val="0563C1"/>
                  <w:sz w:val="16"/>
                  <w:szCs w:val="16"/>
                  <w:u w:val="single"/>
                </w:rPr>
                <w:t xml:space="preserve">Lusuardi et al. 2021</w:t>
              </w:r>
            </w:hyperlink>
            <w:r>
              <w:rPr>
                <w:sz w:val="16"/>
                <w:szCs w:val="16"/>
              </w:rPr>
              <w:t xml:space="preserve">; </w:t>
            </w:r>
            <w:hyperlink w:history="1" r:id="rId2uhqcfc72buefwbd3lyi0">
              <w:r>
                <w:rPr>
                  <w:color w:val="0563C1"/>
                  <w:sz w:val="16"/>
                  <w:szCs w:val="16"/>
                  <w:u w:val="single"/>
                </w:rPr>
                <w:t xml:space="preserve">Solfas STA</w:t>
              </w:r>
            </w:hyperlink>
          </w:p>
        </w:tc>
      </w:tr>
      <w:tr>
        <w:trPr>
          <w:cantSplit/>
        </w:trPr>
        <w:tc>
          <w:tcPr>
            <w:tcW w:type="dxa" w:w="130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Bipolar SiC impulse source</w:t>
            </w:r>
          </w:p>
        </w:tc>
        <w:tc>
          <w:tcPr>
            <w:tcW w:type="dxa" w:w="446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±1.5–2.5 kV; ≤100 ns; 1–10 kHz; UHF antenna</w:t>
            </w:r>
          </w:p>
        </w:tc>
        <w:tc>
          <w:tcPr>
            <w:tcW w:type="dxa" w:w="200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T/T RPDIV (all classes); 800 V P/P and P/G verification</w:t>
            </w:r>
          </w:p>
        </w:tc>
        <w:tc>
          <w:tcPr>
            <w:tcW w:type="dxa" w:w="186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hkhvglpcczv1xue9wowlk">
              <w:r>
                <w:rPr>
                  <w:color w:val="0563C1"/>
                  <w:sz w:val="16"/>
                  <w:szCs w:val="16"/>
                  <w:u w:val="single"/>
                </w:rPr>
                <w:t xml:space="preserve">IEC TS 61934:2024</w:t>
              </w:r>
            </w:hyperlink>
            <w:r>
              <w:rPr>
                <w:sz w:val="16"/>
                <w:szCs w:val="16"/>
              </w:rPr>
              <w:t xml:space="preserve">; </w:t>
            </w:r>
            <w:hyperlink w:history="1" r:id="rIdoyrn1zgqvhj2jibkhtdwe">
              <w:r>
                <w:rPr>
                  <w:color w:val="0563C1"/>
                  <w:sz w:val="16"/>
                  <w:szCs w:val="16"/>
                  <w:u w:val="single"/>
                </w:rPr>
                <w:t xml:space="preserve">Driendl et al. 2022</w:t>
              </w:r>
            </w:hyperlink>
          </w:p>
        </w:tc>
      </w:tr>
      <w:tr>
        <w:trPr>
          <w:cantSplit/>
        </w:trPr>
        <w:tc>
          <w:tcPr>
            <w:tcW w:type="dxa" w:w="130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High-voltage impulse source</w:t>
            </w:r>
          </w:p>
        </w:tc>
        <w:tc>
          <w:tcPr>
            <w:tcW w:type="dxa" w:w="446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≥±4 kV bipolar; waveform recording at the sample terminals</w:t>
            </w:r>
          </w:p>
        </w:tc>
        <w:tc>
          <w:tcPr>
            <w:tcW w:type="dxa" w:w="200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1200/1600 V P/P and P/G verification (subgroup)</w:t>
            </w:r>
          </w:p>
        </w:tc>
        <w:tc>
          <w:tcPr>
            <w:tcW w:type="dxa" w:w="186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pvlycygo0yqptnsibts_b">
              <w:r>
                <w:rPr>
                  <w:color w:val="0563C1"/>
                  <w:sz w:val="16"/>
                  <w:szCs w:val="16"/>
                  <w:u w:val="single"/>
                </w:rPr>
                <w:t xml:space="preserve">Hu et al. 2021</w:t>
              </w:r>
            </w:hyperlink>
            <w:r>
              <w:rPr>
                <w:sz w:val="16"/>
                <w:szCs w:val="16"/>
              </w:rPr>
              <w:t xml:space="preserve">; </w:t>
            </w:r>
            <w:hyperlink w:history="1" r:id="rIdrmn9oaoukmwk9erxfhwtm">
              <w:r>
                <w:rPr>
                  <w:color w:val="0563C1"/>
                  <w:sz w:val="16"/>
                  <w:szCs w:val="16"/>
                  <w:u w:val="single"/>
                </w:rPr>
                <w:t xml:space="preserve">Schleich</w:t>
              </w:r>
            </w:hyperlink>
          </w:p>
        </w:tc>
      </w:tr>
      <w:tr>
        <w:trPr>
          <w:cantSplit/>
        </w:trPr>
        <w:tc>
          <w:tcPr>
            <w:tcW w:type="dxa" w:w="130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Oscilloscope and HV probe</w:t>
            </w:r>
          </w:p>
        </w:tc>
        <w:tc>
          <w:tcPr>
            <w:tcW w:type="dxa" w:w="446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≥100 MHz (preferably ≥400 MHz), at the sample terminals</w:t>
            </w:r>
          </w:p>
        </w:tc>
        <w:tc>
          <w:tcPr>
            <w:tcW w:type="dxa" w:w="200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All impulse measurements</w:t>
            </w:r>
          </w:p>
        </w:tc>
        <w:tc>
          <w:tcPr>
            <w:tcW w:type="dxa" w:w="186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vroztwxs5fcfe4tfchzyg">
              <w:r>
                <w:rPr>
                  <w:color w:val="0563C1"/>
                  <w:sz w:val="16"/>
                  <w:szCs w:val="16"/>
                  <w:u w:val="single"/>
                </w:rPr>
                <w:t xml:space="preserve">IEC TS 61934:2024</w:t>
              </w:r>
            </w:hyperlink>
            <w:r>
              <w:rPr>
                <w:sz w:val="16"/>
                <w:szCs w:val="16"/>
              </w:rPr>
              <w:t xml:space="preserve">; </w:t>
            </w:r>
            <w:hyperlink w:history="1" r:id="rIdyvzo3n2hxtm8jzh1qn3hf">
              <w:r>
                <w:rPr>
                  <w:color w:val="0563C1"/>
                  <w:sz w:val="16"/>
                  <w:szCs w:val="16"/>
                  <w:u w:val="single"/>
                </w:rPr>
                <w:t xml:space="preserve">He et al. 2025</w:t>
              </w:r>
            </w:hyperlink>
          </w:p>
        </w:tc>
      </w:tr>
      <w:tr>
        <w:trPr>
          <w:cantSplit/>
        </w:trPr>
        <w:tc>
          <w:tcPr>
            <w:tcW w:type="dxa" w:w="130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Oven or climate chamber</w:t>
            </w:r>
          </w:p>
        </w:tc>
        <w:tc>
          <w:tcPr>
            <w:tcW w:type="dxa" w:w="446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Room temperature–210 °C; humidity and pressure recording; short connection (≈1.5 m)</w:t>
            </w:r>
          </w:p>
        </w:tc>
        <w:tc>
          <w:tcPr>
            <w:tcW w:type="dxa" w:w="200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All measurements</w:t>
            </w:r>
          </w:p>
        </w:tc>
        <w:tc>
          <w:tcPr>
            <w:tcW w:type="dxa" w:w="186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qlferzzweqhc_ubqaig7y">
              <w:r>
                <w:rPr>
                  <w:color w:val="0563C1"/>
                  <w:sz w:val="16"/>
                  <w:szCs w:val="16"/>
                  <w:u w:val="single"/>
                </w:rPr>
                <w:t xml:space="preserve">Driendl et al. 2022</w:t>
              </w:r>
            </w:hyperlink>
          </w:p>
        </w:tc>
      </w:tr>
      <w:tr>
        <w:trPr>
          <w:cantSplit/>
        </w:trPr>
        <w:tc>
          <w:tcPr>
            <w:tcW w:type="dxa" w:w="130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Aging vessels</w:t>
            </w:r>
          </w:p>
        </w:tc>
        <w:tc>
          <w:tcPr>
            <w:tcW w:type="dxa" w:w="446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Closed stainless steel; in the energized arm, with HV bushings, nitrogen-blanketed, pressure-relieved</w:t>
            </w:r>
          </w:p>
        </w:tc>
        <w:tc>
          <w:tcPr>
            <w:tcW w:type="dxa" w:w="200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Layer 3</w:t>
            </w:r>
          </w:p>
        </w:tc>
        <w:tc>
          <w:tcPr>
            <w:tcW w:type="dxa" w:w="186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aq_xzgsir6r1h5oo9ldxg">
              <w:r>
                <w:rPr>
                  <w:color w:val="0563C1"/>
                  <w:sz w:val="16"/>
                  <w:szCs w:val="16"/>
                  <w:u w:val="single"/>
                </w:rPr>
                <w:t xml:space="preserve">IEC 60851-4</w:t>
              </w:r>
            </w:hyperlink>
            <w:r>
              <w:rPr>
                <w:sz w:val="16"/>
                <w:szCs w:val="16"/>
              </w:rPr>
              <w:t xml:space="preserve">; </w:t>
            </w:r>
            <w:hyperlink w:history="1" r:id="rIdxqkwa_6e8it_r1tlbgn9l">
              <w:r>
                <w:rPr>
                  <w:color w:val="0563C1"/>
                  <w:sz w:val="16"/>
                  <w:szCs w:val="16"/>
                  <w:u w:val="single"/>
                </w:rPr>
                <w:t xml:space="preserve">T/CAQI draft</w:t>
              </w:r>
            </w:hyperlink>
          </w:p>
        </w:tc>
      </w:tr>
      <w:tr>
        <w:trPr>
          <w:cantSplit/>
        </w:trPr>
        <w:tc>
          <w:tcPr>
            <w:tcW w:type="dxa" w:w="1304"/>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Oil analysis</w:t>
            </w:r>
          </w:p>
        </w:tc>
        <w:tc>
          <w:tcPr>
            <w:tcW w:type="dxa" w:w="446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Karl Fischer; resistivity (IEC 60247/ASTM D1169); ICP (Cu, S)</w:t>
            </w:r>
          </w:p>
        </w:tc>
        <w:tc>
          <w:tcPr>
            <w:tcW w:type="dxa" w:w="2008"/>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Every measurement point</w:t>
            </w:r>
          </w:p>
        </w:tc>
        <w:tc>
          <w:tcPr>
            <w:tcW w:type="dxa" w:w="1861"/>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93gyaupqoc04lviuv6pa6">
              <w:r>
                <w:rPr>
                  <w:color w:val="0563C1"/>
                  <w:sz w:val="16"/>
                  <w:szCs w:val="16"/>
                  <w:u w:val="single"/>
                </w:rPr>
                <w:t xml:space="preserve">Tormos et al. 2023</w:t>
              </w:r>
            </w:hyperlink>
            <w:r>
              <w:rPr>
                <w:sz w:val="16"/>
                <w:szCs w:val="16"/>
              </w:rPr>
              <w:t xml:space="preserve">; </w:t>
            </w:r>
            <w:hyperlink w:history="1" r:id="rIdinxqy7i9ps7ooxul-s4_i">
              <w:r>
                <w:rPr>
                  <w:color w:val="0563C1"/>
                  <w:sz w:val="16"/>
                  <w:szCs w:val="16"/>
                  <w:u w:val="single"/>
                </w:rPr>
                <w:t xml:space="preserve">US 11,905,488 B2</w:t>
              </w:r>
            </w:hyperlink>
          </w:p>
        </w:tc>
      </w:tr>
      <w:tr>
        <w:trPr>
          <w:cantSplit/>
        </w:trPr>
        <w:tc>
          <w:tcPr>
            <w:tcW w:type="dxa" w:w="1304"/>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Safety</w:t>
            </w:r>
          </w:p>
        </w:tc>
        <w:tc>
          <w:tcPr>
            <w:tcW w:type="dxa" w:w="446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Interlocked, grounded Faraday cage; current-limited source, breakdown detection</w:t>
            </w:r>
          </w:p>
        </w:tc>
        <w:tc>
          <w:tcPr>
            <w:tcW w:type="dxa" w:w="2008"/>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All HV work</w:t>
            </w:r>
          </w:p>
        </w:tc>
        <w:tc>
          <w:tcPr>
            <w:tcW w:type="dxa" w:w="1861"/>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ybpja0cvedkwehpy8rgbm">
              <w:r>
                <w:rPr>
                  <w:color w:val="0563C1"/>
                  <w:sz w:val="16"/>
                  <w:szCs w:val="16"/>
                  <w:u w:val="single"/>
                </w:rPr>
                <w:t xml:space="preserve">Hu et al. 2021</w:t>
              </w:r>
            </w:hyperlink>
            <w:r>
              <w:rPr>
                <w:sz w:val="16"/>
                <w:szCs w:val="16"/>
              </w:rPr>
              <w:t xml:space="preserve">; </w:t>
            </w:r>
            <w:hyperlink w:history="1" r:id="rIds9fpz09sv7vdx54bvbaul">
              <w:r>
                <w:rPr>
                  <w:color w:val="0563C1"/>
                  <w:sz w:val="16"/>
                  <w:szCs w:val="16"/>
                  <w:u w:val="single"/>
                </w:rPr>
                <w:t xml:space="preserve">Metrel EN 50191 guide</w:t>
              </w:r>
            </w:hyperlink>
          </w:p>
        </w:tc>
      </w:tr>
    </w:tbl>
    <w:p>
      <w:pPr>
        <w:spacing w:after="120" w:before="0"/>
      </w:pPr>
    </w:p>
    <w:p>
      <w:pPr>
        <w:pStyle w:val="Heading2"/>
      </w:pPr>
      <w:bookmarkStart w:name="_TocH014" w:id="15"/>
      <w:r>
        <w:t xml:space="preserve">The energized subgroup separates out synergy and corrosion</w:t>
      </w:r>
      <w:bookmarkEnd w:id="15"/>
    </w:p>
    <w:p>
      <w:r>
        <w:rPr>
          <w:sz w:val="20"/>
          <w:szCs w:val="20"/>
        </w:rPr>
        <w:t xml:space="preserve">Layer 3 measures the combined effect of voltage, temperature and oil for the 2–3 types with the highest 1600 V margin in the dry baseline measurement. The proposed design is 2–3 types × one oil temperature × two voltage levels × 5 samples; the voltage levels are the per-path operating stress of the 800 and 1600 V classes (e.g., 1920 and 3840 Vpp for HEFT P/P), and the samples are the P/P gap model or the hairpin formette. As in Stuttgart, subgroups A (periodic measurement) and B (measurement only at the start and end) should be used; the 2³ design of temperature × voltage × oil/no oil keeps the interaction terms estimable (</w:t>
      </w:r>
      <w:hyperlink w:history="1" r:id="rIdrvgqo4cgdo3wwudbxsjm9">
        <w:r>
          <w:rPr>
            <w:color w:val="0563C1"/>
            <w:sz w:val="20"/>
            <w:szCs w:val="20"/>
            <w:u w:val="single"/>
          </w:rPr>
          <w:t xml:space="preserve">He et al. 2025</w:t>
        </w:r>
      </w:hyperlink>
      <w:r>
        <w:rPr>
          <w:sz w:val="20"/>
          <w:szCs w:val="20"/>
        </w:rPr>
        <w:t xml:space="preserve">). The applied voltage should stay below each sample's hot RPDIV; because the Type I approach counts PD inception as end of life, endurance above RPDIV is a separate substudy (inference). Using energized and unenergized samples together in the same vessel, under the oil and in the headspace (in the vapor), separates the effect of voltage and of phase while oil, temperature and time are constant: the sample under oil represents the ionic-electrochemical regime, the sample in the vapor the PD regime (recommendation). Frequency acceleration (life ∝ 1/f) is a rule supported by the IEC 60034-18-42 approach (</w:t>
      </w:r>
      <w:hyperlink w:history="1" r:id="rIdoys-ndxsnkfcfh3raaqwo">
        <w:r>
          <w:rPr>
            <w:color w:val="0563C1"/>
            <w:sz w:val="20"/>
            <w:szCs w:val="20"/>
            <w:u w:val="single"/>
          </w:rPr>
          <w:t xml:space="preserve">CIGRE WG D1.43</w:t>
        </w:r>
      </w:hyperlink>
      <w:r>
        <w:rPr>
          <w:sz w:val="20"/>
          <w:szCs w:val="20"/>
        </w:rPr>
        <w:t xml:space="preserve">), but it holds only as long as the failure mechanism does not change; a control pair at 1 and 10 kHz should be run before extrapolating (recommendation).</w:t>
      </w:r>
    </w:p>
    <w:p>
      <w:r>
        <w:rPr>
          <w:sz w:val="20"/>
          <w:szCs w:val="20"/>
        </w:rPr>
        <w:t xml:space="preserve">The energized corrosion arm is cheaper and entirely new. In one vessel for each oil condition (dry, wet), sample pairs whose cut ends face each other across a 1 mm oil gap should be energized with DC equal to the class's maximum bus voltage, at a minimum of two levels (900 and 1800 V; 0.9 and 1.8 kV/mm) and in both polarities. A witness board with copper traces or an interdigitated comb electrode, plus unenergized controls, should be placed alongside them, and the leakage current should be recorded continuously (recommendation; set-up adapted from the logic of </w:t>
      </w:r>
      <w:hyperlink w:history="1" r:id="rIdpkxgx36f2e7_z2lbgvm91">
        <w:r>
          <w:rPr>
            <w:color w:val="0563C1"/>
            <w:sz w:val="20"/>
            <w:szCs w:val="20"/>
            <w:u w:val="single"/>
          </w:rPr>
          <w:t xml:space="preserve">US 12,276,636 B2</w:t>
        </w:r>
      </w:hyperlink>
      <w:r>
        <w:rPr>
          <w:sz w:val="20"/>
          <w:szCs w:val="20"/>
        </w:rPr>
        <w:t xml:space="preserve"> and </w:t>
      </w:r>
      <w:hyperlink w:history="1" r:id="rIdep-1i7pryykreyzeafpei">
        <w:r>
          <w:rPr>
            <w:color w:val="0563C1"/>
            <w:sz w:val="20"/>
            <w:szCs w:val="20"/>
            <w:u w:val="single"/>
          </w:rPr>
          <w:t xml:space="preserve">ASTM D8544-24</w:t>
        </w:r>
      </w:hyperlink>
      <w:r>
        <w:rPr>
          <w:sz w:val="20"/>
          <w:szCs w:val="20"/>
        </w:rPr>
        <w:t xml:space="preserve">). This set-up directly closes the gap between 5 V fluid tests and 1200–1600 V machine potentials. The photo protocol needs two additions. Anode and cathode ends should be photographed separately, because dissolution is expected at the anode and deposits and dendrites at the cathode (inference). Breakdown sites should also be classified by morphology: in enameled twisted pairs, breakdown points mostly appear not on the contact line of the wires but as gradually tapering inverted cones, and a carbonized central channel lies beneath wipeable loose carbon dust (</w:t>
      </w:r>
      <w:hyperlink w:history="1" r:id="rIdki47gria1qlxloc-eyt4l">
        <w:r>
          <w:rPr>
            <w:color w:val="0563C1"/>
            <w:sz w:val="20"/>
            <w:szCs w:val="20"/>
            <w:u w:val="single"/>
          </w:rPr>
          <w:t xml:space="preserve">Liu et al. 2024</w:t>
        </w:r>
      </w:hyperlink>
      <w:r>
        <w:rPr>
          <w:sz w:val="20"/>
          <w:szCs w:val="20"/>
        </w:rPr>
        <w:t xml:space="preserve">); this signature distinguishes electrical damage from chemical attack.</w:t>
      </w:r>
    </w:p>
    <w:p>
      <w:r>
        <w:rPr>
          <w:sz w:val="20"/>
          <w:szCs w:val="20"/>
        </w:rPr>
        <w:t xml:space="preserve">For types that cannot remain PD-free at 1600 V, an optional Type II-style endurance substudy can be added: aging above RPDIV at several voltage levels, inverse power law and Weibull analysis (IEC 62539), and frequency acceleration under the life ∝ 1/f assumption (</w:t>
      </w:r>
      <w:hyperlink w:history="1" r:id="rIdtbzlwiauxgntsf4kwu0f2">
        <w:r>
          <w:rPr>
            <w:color w:val="0563C1"/>
            <w:sz w:val="20"/>
            <w:szCs w:val="20"/>
            <w:u w:val="single"/>
          </w:rPr>
          <w:t xml:space="preserve">IEC 60034-18-42 preview</w:t>
        </w:r>
      </w:hyperlink>
      <w:r>
        <w:rPr>
          <w:sz w:val="20"/>
          <w:szCs w:val="20"/>
        </w:rPr>
        <w:t xml:space="preserve">; </w:t>
      </w:r>
      <w:hyperlink w:history="1" r:id="rIdpf1ceqoxodbdot3uexbjx">
        <w:r>
          <w:rPr>
            <w:color w:val="0563C1"/>
            <w:sz w:val="20"/>
            <w:szCs w:val="20"/>
            <w:u w:val="single"/>
          </w:rPr>
          <w:t xml:space="preserve">CIGRE WG D1.43</w:t>
        </w:r>
      </w:hyperlink>
      <w:r>
        <w:rPr>
          <w:sz w:val="20"/>
          <w:szCs w:val="20"/>
        </w:rPr>
        <w:t xml:space="preserve">). The 7 kVpp, 1 kHz test of Kapton 200CR is a ready-made template for this (</w:t>
      </w:r>
      <w:hyperlink w:history="1" r:id="rId6qztpqib17rwag4a2oumb">
        <w:r>
          <w:rPr>
            <w:color w:val="0563C1"/>
            <w:sz w:val="20"/>
            <w:szCs w:val="20"/>
            <w:u w:val="single"/>
          </w:rPr>
          <w:t xml:space="preserve">Han and Cavallini 2020</w:t>
        </w:r>
      </w:hyperlink>
      <w:r>
        <w:rPr>
          <w:sz w:val="20"/>
          <w:szCs w:val="20"/>
        </w:rPr>
        <w:t xml:space="preserve">). The natural candidates are the glass-fiber types in stock and corona-resistant PI and enamel.</w:t>
      </w:r>
    </w:p>
    <w:p>
      <w:pPr>
        <w:pStyle w:val="Heading2"/>
      </w:pPr>
      <w:bookmarkStart w:name="_TocH015" w:id="16"/>
      <w:r>
        <w:t xml:space="preserve">Acceptance: mean − 3σ must exceed the target, retention must stay above 50%</w:t>
      </w:r>
      <w:bookmarkEnd w:id="16"/>
    </w:p>
    <w:p>
      <w:r>
        <w:rPr>
          <w:sz w:val="20"/>
          <w:szCs w:val="20"/>
        </w:rPr>
        <w:t xml:space="preserve">Acceptance criteria should be defined at two levels: the class verdict (does this type meet this class in this state?) and the aging verdict (how much of this type's margin has the oil eroded?). HEFT's method is recommended as the primary criterion: the mean − 3σ value of the PDIV measured at the aging temperature should be greater than the path target in the declared framework; for an aged sample measured hot, EF_T and EF_age are taken as 1 (</w:t>
      </w:r>
      <w:hyperlink w:history="1" r:id="rIdujthro2no7z2vxvphujbs">
        <w:r>
          <w:rPr>
            <w:color w:val="0563C1"/>
            <w:sz w:val="20"/>
            <w:szCs w:val="20"/>
            <w:u w:val="single"/>
          </w:rPr>
          <w:t xml:space="preserve">HEFT D2.4</w:t>
        </w:r>
      </w:hyperlink>
      <w:r>
        <w:rPr>
          <w:sz w:val="20"/>
          <w:szCs w:val="20"/>
        </w:rPr>
        <w:t xml:space="preserve">; </w:t>
      </w:r>
      <w:hyperlink w:history="1" r:id="rIdftdm8xeghe46pgospr16-">
        <w:r>
          <w:rPr>
            <w:color w:val="0563C1"/>
            <w:sz w:val="20"/>
            <w:szCs w:val="20"/>
            <w:u w:val="single"/>
          </w:rPr>
          <w:t xml:space="preserve">Lusuardi et al. 2021</w:t>
        </w:r>
      </w:hyperlink>
      <w:r>
        <w:rPr>
          <w:sz w:val="20"/>
          <w:szCs w:val="20"/>
        </w:rPr>
        <w:t xml:space="preserve">). The choice of statistic changes the verdict: the same group's conclusion that 110 µm is sufficient up to 1000 V rests on the mean, whereas the negative margins in D2.4 rest on the mean − 3σ (</w:t>
      </w:r>
      <w:hyperlink w:history="1" r:id="rIdowumcrny7uoa6bu3fcn6l">
        <w:r>
          <w:rPr>
            <w:color w:val="0563C1"/>
            <w:sz w:val="20"/>
            <w:szCs w:val="20"/>
            <w:u w:val="single"/>
          </w:rPr>
          <w:t xml:space="preserve">Martinez et al. 2025</w:t>
        </w:r>
      </w:hyperlink>
      <w:r>
        <w:rPr>
          <w:sz w:val="20"/>
          <w:szCs w:val="20"/>
        </w:rPr>
        <w:t xml:space="preserve">; </w:t>
      </w:r>
      <w:hyperlink w:history="1" r:id="rIdsqmr2nptckgvhkpyemkwi">
        <w:r>
          <w:rPr>
            <w:color w:val="0563C1"/>
            <w:sz w:val="20"/>
            <w:szCs w:val="20"/>
            <w:u w:val="single"/>
          </w:rPr>
          <w:t xml:space="preserve">HEFT D2.4</w:t>
        </w:r>
      </w:hyperlink>
      <w:r>
        <w:rPr>
          <w:sz w:val="20"/>
          <w:szCs w:val="20"/>
        </w:rPr>
        <w:t xml:space="preserve">).</w:t>
      </w:r>
    </w:p>
    <w:p>
      <w:r>
        <w:rPr>
          <w:b/>
          <w:bCs/>
          <w:sz w:val="20"/>
          <w:szCs w:val="20"/>
        </w:rPr>
        <w:t xml:space="preserve">Table 6. Proposed acceptance criteria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0"/>
        <w:gridCol w:w="2725"/>
        <w:gridCol w:w="4213"/>
        <w:gridCol w:w="1580"/>
      </w:tblGrid>
      <w:tr>
        <w:trPr>
          <w:cantSplit/>
          <w:tblHeader/>
        </w:trPr>
        <w:tc>
          <w:tcPr>
            <w:tcW w:type="dxa" w:w="112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Criterion</w:t>
            </w:r>
          </w:p>
        </w:tc>
        <w:tc>
          <w:tcPr>
            <w:tcW w:type="dxa" w:w="2725"/>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Measurement and state</w:t>
            </w:r>
          </w:p>
        </w:tc>
        <w:tc>
          <w:tcPr>
            <w:tcW w:type="dxa" w:w="4213"/>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Proposed threshold</w:t>
            </w:r>
          </w:p>
        </w:tc>
        <w:tc>
          <w:tcPr>
            <w:tcW w:type="dxa" w:w="1580"/>
            <w:tcBorders>
              <w:top w:val="single" w:color="BFBFBF" w:sz="4"/>
              <w:left w:val="single" w:color="BFBFBF" w:sz="4"/>
              <w:bottom w:val="single" w:color="BFBFBF" w:sz="4"/>
              <w:right w:val="single" w:color="BFBFBF" w:sz="4"/>
            </w:tcBorders>
            <w:shd w:fill="D9E2F3" w:color="auto" w:val="clear"/>
            <w:tcMar>
              <w:top w:type="dxa" w:w="30"/>
              <w:left w:type="dxa" w:w="80"/>
              <w:bottom w:type="dxa" w:w="30"/>
              <w:right w:type="dxa" w:w="80"/>
            </w:tcMar>
            <w:vAlign w:val="center"/>
          </w:tcPr>
          <w:p>
            <w:pPr>
              <w:spacing w:after="0" w:before="0" w:line="240" w:lineRule="auto"/>
            </w:pPr>
            <w:r>
              <w:rPr>
                <w:b/>
                <w:bCs/>
                <w:sz w:val="16"/>
                <w:szCs w:val="16"/>
              </w:rPr>
              <w:t xml:space="preserve">Basis</w:t>
            </w:r>
          </w:p>
        </w:tc>
      </w:tr>
      <w:tr>
        <w:trPr>
          <w:cantSplit/>
        </w:trPr>
        <w:tc>
          <w:tcPr>
            <w:tcW w:type="dxa" w:w="11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Class margin (primary)</w:t>
            </w:r>
          </w:p>
        </w:tc>
        <w:tc>
          <w:tcPr>
            <w:tcW w:type="dxa" w:w="272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AC PDIV, ≥5 samples, after aging, at the aging temperature, S1</w:t>
            </w:r>
          </w:p>
        </w:tc>
        <w:tc>
          <w:tcPr>
            <w:tcW w:type="dxa" w:w="421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PDIV_mean − 3σ (or B10) ≥ path target; Udc,perm ≥ maximum voltage of the class (900/1350/1800 V)</w:t>
            </w:r>
          </w:p>
        </w:tc>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jtu7mhueu9-ikq41r-slu">
              <w:r>
                <w:rPr>
                  <w:color w:val="0563C1"/>
                  <w:sz w:val="16"/>
                  <w:szCs w:val="16"/>
                  <w:u w:val="single"/>
                </w:rPr>
                <w:t xml:space="preserve">HEFT D2.4</w:t>
              </w:r>
            </w:hyperlink>
            <w:r>
              <w:rPr>
                <w:sz w:val="16"/>
                <w:szCs w:val="16"/>
              </w:rPr>
              <w:t xml:space="preserve">; </w:t>
            </w:r>
            <w:hyperlink w:history="1" r:id="rIdhooichmtvwq2uvo8m446h">
              <w:r>
                <w:rPr>
                  <w:color w:val="0563C1"/>
                  <w:sz w:val="16"/>
                  <w:szCs w:val="16"/>
                  <w:u w:val="single"/>
                </w:rPr>
                <w:t xml:space="preserve">Lusuardi et al. 2021</w:t>
              </w:r>
            </w:hyperlink>
          </w:p>
        </w:tc>
      </w:tr>
      <w:tr>
        <w:trPr>
          <w:cantSplit/>
        </w:trPr>
        <w:tc>
          <w:tcPr>
            <w:tcW w:type="dxa" w:w="11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Retention</w:t>
            </w:r>
          </w:p>
        </w:tc>
        <w:tc>
          <w:tcPr>
            <w:tcW w:type="dxa" w:w="272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PDIV(t)/PDIV(0), in the same state and at the same temperature</w:t>
            </w:r>
          </w:p>
        </w:tc>
        <w:tc>
          <w:tcPr>
            <w:tcW w:type="dxa" w:w="421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Minimum 50%; ≥83% is consistent with the IEC aging factor of 1.2</w:t>
            </w:r>
          </w:p>
        </w:tc>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pxnk1iizahjw8wf-kfd5z">
              <w:r>
                <w:rPr>
                  <w:color w:val="0563C1"/>
                  <w:sz w:val="16"/>
                  <w:szCs w:val="16"/>
                  <w:u w:val="single"/>
                </w:rPr>
                <w:t xml:space="preserve">SEARI 2025</w:t>
              </w:r>
            </w:hyperlink>
            <w:r>
              <w:rPr>
                <w:sz w:val="16"/>
                <w:szCs w:val="16"/>
              </w:rPr>
              <w:t xml:space="preserve">; calculation</w:t>
            </w:r>
          </w:p>
        </w:tc>
      </w:tr>
      <w:tr>
        <w:trPr>
          <w:cantSplit/>
        </w:trPr>
        <w:tc>
          <w:tcPr>
            <w:tcW w:type="dxa" w:w="11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Waveform check</w:t>
            </w:r>
          </w:p>
        </w:tc>
        <w:tc>
          <w:tcPr>
            <w:tcW w:type="dxa" w:w="272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Bipolar ≤100 ns RPDIV/RPDEV in the subgroup</w:t>
            </w:r>
          </w:p>
        </w:tc>
        <w:tc>
          <w:tcPr>
            <w:tcW w:type="dxa" w:w="421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RPDIV (Vpp) ≥ AC PDIV (Vpp); otherwise the verdict is based on the impulse value</w:t>
            </w:r>
          </w:p>
        </w:tc>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mzbwkc05qmvr2c_waefai">
              <w:r>
                <w:rPr>
                  <w:color w:val="0563C1"/>
                  <w:sz w:val="16"/>
                  <w:szCs w:val="16"/>
                  <w:u w:val="single"/>
                </w:rPr>
                <w:t xml:space="preserve">Lusuardi et al. 2021</w:t>
              </w:r>
            </w:hyperlink>
            <w:r>
              <w:rPr>
                <w:sz w:val="16"/>
                <w:szCs w:val="16"/>
              </w:rPr>
              <w:t xml:space="preserve">; </w:t>
            </w:r>
            <w:hyperlink w:history="1" r:id="rIdiekbrbyhkeiipbeosu8g_">
              <w:r>
                <w:rPr>
                  <w:color w:val="0563C1"/>
                  <w:sz w:val="16"/>
                  <w:szCs w:val="16"/>
                  <w:u w:val="single"/>
                </w:rPr>
                <w:t xml:space="preserve">Pauli et al. 2020</w:t>
              </w:r>
            </w:hyperlink>
          </w:p>
        </w:tc>
      </w:tr>
      <w:tr>
        <w:trPr>
          <w:cantSplit/>
        </w:trPr>
        <w:tc>
          <w:tcPr>
            <w:tcW w:type="dxa" w:w="11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Extinction</w:t>
            </w:r>
          </w:p>
        </w:tc>
        <w:tc>
          <w:tcPr>
            <w:tcW w:type="dxa" w:w="272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PDEV on every sample</w:t>
            </w:r>
          </w:p>
        </w:tc>
        <w:tc>
          <w:tcPr>
            <w:tcW w:type="dxa" w:w="421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If PDIV/PDEV &gt; 1.25, the verdict is based on PDEV</w:t>
            </w:r>
          </w:p>
        </w:tc>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skt0gr7olh1jlzxnef7ju">
              <w:r>
                <w:rPr>
                  <w:color w:val="0563C1"/>
                  <w:sz w:val="16"/>
                  <w:szCs w:val="16"/>
                  <w:u w:val="single"/>
                </w:rPr>
                <w:t xml:space="preserve">Driendl et al. 2022</w:t>
              </w:r>
            </w:hyperlink>
          </w:p>
        </w:tc>
      </w:tr>
      <w:tr>
        <w:trPr>
          <w:cantSplit/>
        </w:trPr>
        <w:tc>
          <w:tcPr>
            <w:tcW w:type="dxa" w:w="11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Recovery</w:t>
            </w:r>
          </w:p>
        </w:tc>
        <w:tc>
          <w:tcPr>
            <w:tcW w:type="dxa" w:w="272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Difference between S1 and S2</w:t>
            </w:r>
          </w:p>
        </w:tc>
        <w:tc>
          <w:tcPr>
            <w:tcW w:type="dxa" w:w="421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Reported; loss recovered in S2 is absorption, remaining loss is degradation</w:t>
            </w:r>
          </w:p>
        </w:tc>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miuvwm_i2intcmd6etasn">
              <w:r>
                <w:rPr>
                  <w:color w:val="0563C1"/>
                  <w:sz w:val="16"/>
                  <w:szCs w:val="16"/>
                  <w:u w:val="single"/>
                </w:rPr>
                <w:t xml:space="preserve">IEC 60851-4</w:t>
              </w:r>
            </w:hyperlink>
          </w:p>
        </w:tc>
      </w:tr>
      <w:tr>
        <w:trPr>
          <w:cantSplit/>
        </w:trPr>
        <w:tc>
          <w:tcPr>
            <w:tcW w:type="dxa" w:w="11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Breakdown</w:t>
            </w:r>
          </w:p>
        </w:tc>
        <w:tc>
          <w:tcPr>
            <w:tcW w:type="dxa" w:w="272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IEC 60851-5, sacrificial subgroup</w:t>
            </w:r>
          </w:p>
        </w:tc>
        <w:tc>
          <w:tcPr>
            <w:tcW w:type="dxa" w:w="421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Retention is reported; should not fall below the withstand test level of the class (recommendation)</w:t>
            </w:r>
          </w:p>
        </w:tc>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hyperlink w:history="1" r:id="rIdo6wfhoje8qhy4vmtltdq4">
              <w:r>
                <w:rPr>
                  <w:color w:val="0563C1"/>
                  <w:sz w:val="16"/>
                  <w:szCs w:val="16"/>
                  <w:u w:val="single"/>
                </w:rPr>
                <w:t xml:space="preserve">IEC 60851-4</w:t>
              </w:r>
            </w:hyperlink>
            <w:r>
              <w:rPr>
                <w:sz w:val="16"/>
                <w:szCs w:val="16"/>
              </w:rPr>
              <w:t xml:space="preserve">; </w:t>
            </w:r>
            <w:hyperlink w:history="1" r:id="rIdzwfqdh-vspdqi5rcno7sz">
              <w:r>
                <w:rPr>
                  <w:color w:val="0563C1"/>
                  <w:sz w:val="16"/>
                  <w:szCs w:val="16"/>
                  <w:u w:val="single"/>
                </w:rPr>
                <w:t xml:space="preserve">AMD1:2019</w:t>
              </w:r>
            </w:hyperlink>
          </w:p>
        </w:tc>
      </w:tr>
      <w:tr>
        <w:trPr>
          <w:cantSplit/>
        </w:trPr>
        <w:tc>
          <w:tcPr>
            <w:tcW w:type="dxa" w:w="112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b/>
                <w:bCs/>
                <w:sz w:val="16"/>
                <w:szCs w:val="16"/>
              </w:rPr>
              <w:t xml:space="preserve">Formette</w:t>
            </w:r>
          </w:p>
        </w:tc>
        <w:tc>
          <w:tcPr>
            <w:tcW w:type="dxa" w:w="2725"/>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Insulation resistance; 1-minute AC withstand only at the end</w:t>
            </w:r>
          </w:p>
        </w:tc>
        <w:tc>
          <w:tcPr>
            <w:tcW w:type="dxa" w:w="4213"/>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r>
              <w:rPr>
                <w:sz w:val="16"/>
                <w:szCs w:val="16"/>
              </w:rPr>
              <w:t xml:space="preserve">≥20 MΩ; 2.2/2.8/3.4 kV rms (3.0/4.0/4.9 for IVIC D)</w:t>
            </w:r>
          </w:p>
        </w:tc>
        <w:tc>
          <w:tcPr>
            <w:tcW w:type="dxa" w:w="1580"/>
            <w:tcBorders>
              <w:top w:val="single" w:color="BFBFBF" w:sz="4"/>
              <w:left w:val="single" w:color="BFBFBF" w:sz="4"/>
              <w:bottom w:val="single" w:color="BFBFBF" w:sz="4"/>
              <w:right w:val="single" w:color="BFBFBF" w:sz="4"/>
            </w:tcBorders>
            <w:tcMar>
              <w:top w:type="dxa" w:w="30"/>
              <w:left w:type="dxa" w:w="80"/>
              <w:bottom w:type="dxa" w:w="30"/>
              <w:right w:type="dxa" w:w="80"/>
            </w:tcMar>
            <w:vAlign w:val="top"/>
          </w:tcPr>
          <w:p>
            <w:pPr>
              <w:spacing w:after="0" w:before="0" w:line="240" w:lineRule="auto"/>
            </w:pPr>
            <w:hyperlink w:history="1" r:id="rIdmoz7nirlekdcocypiqlip">
              <w:r>
                <w:rPr>
                  <w:color w:val="0563C1"/>
                  <w:sz w:val="16"/>
                  <w:szCs w:val="16"/>
                  <w:u w:val="single"/>
                </w:rPr>
                <w:t xml:space="preserve">SEARI 2025</w:t>
              </w:r>
            </w:hyperlink>
            <w:r>
              <w:rPr>
                <w:sz w:val="16"/>
                <w:szCs w:val="16"/>
              </w:rPr>
              <w:t xml:space="preserve">; AMD1 (calculation)</w:t>
            </w:r>
          </w:p>
        </w:tc>
      </w:tr>
      <w:tr>
        <w:trPr>
          <w:cantSplit/>
        </w:trPr>
        <w:tc>
          <w:tcPr>
            <w:tcW w:type="dxa" w:w="112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b/>
                <w:bCs/>
                <w:sz w:val="16"/>
                <w:szCs w:val="16"/>
              </w:rPr>
              <w:t xml:space="preserve">Energized corrosion</w:t>
            </w:r>
          </w:p>
        </w:tc>
        <w:tc>
          <w:tcPr>
            <w:tcW w:type="dxa" w:w="2725"/>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Leakage current, anode/cathode photographs, ICP, witness board</w:t>
            </w:r>
          </w:p>
        </w:tc>
        <w:tc>
          <w:tcPr>
            <w:tcW w:type="dxa" w:w="4213"/>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No bridging or dendrites; difference from the unenergized control is reported</w:t>
            </w:r>
          </w:p>
        </w:tc>
        <w:tc>
          <w:tcPr>
            <w:tcW w:type="dxa" w:w="1580"/>
            <w:tcBorders>
              <w:top w:val="single" w:color="BFBFBF" w:sz="4"/>
              <w:left w:val="single" w:color="BFBFBF" w:sz="4"/>
              <w:bottom w:val="single" w:color="BFBFBF" w:sz="4"/>
              <w:right w:val="single" w:color="BFBFBF" w:sz="4"/>
            </w:tcBorders>
            <w:shd w:fill="F5F7FB" w:color="auto" w:val="clear"/>
            <w:tcMar>
              <w:top w:type="dxa" w:w="30"/>
              <w:left w:type="dxa" w:w="80"/>
              <w:bottom w:type="dxa" w:w="30"/>
              <w:right w:type="dxa" w:w="80"/>
            </w:tcMar>
            <w:vAlign w:val="top"/>
          </w:tcPr>
          <w:p>
            <w:pPr>
              <w:spacing w:after="0" w:before="0" w:line="240" w:lineRule="auto"/>
            </w:pPr>
            <w:r>
              <w:rPr>
                <w:sz w:val="16"/>
                <w:szCs w:val="16"/>
              </w:rPr>
              <w:t xml:space="preserve">Recommendation; </w:t>
            </w:r>
            <w:hyperlink w:history="1" r:id="rId7ost-utrivn7etlazqi50">
              <w:r>
                <w:rPr>
                  <w:color w:val="0563C1"/>
                  <w:sz w:val="16"/>
                  <w:szCs w:val="16"/>
                  <w:u w:val="single"/>
                </w:rPr>
                <w:t xml:space="preserve">ASTM D8544-24</w:t>
              </w:r>
            </w:hyperlink>
            <w:r>
              <w:rPr>
                <w:sz w:val="16"/>
                <w:szCs w:val="16"/>
              </w:rPr>
              <w:t xml:space="preserve"> logic</w:t>
            </w:r>
          </w:p>
        </w:tc>
      </w:tr>
    </w:tbl>
    <w:p>
      <w:pPr>
        <w:spacing w:after="120" w:before="0"/>
      </w:pPr>
    </w:p>
    <w:p>
      <w:pPr>
        <w:pStyle w:val="Heading2"/>
      </w:pPr>
      <w:bookmarkStart w:name="_TocH016" w:id="17"/>
      <w:r>
        <w:t xml:space="preserve">Do not energize oily samples in a hot oven</w:t>
      </w:r>
      <w:bookmarkEnd w:id="17"/>
    </w:p>
    <w:p>
      <w:r>
        <w:rPr>
          <w:sz w:val="20"/>
          <w:szCs w:val="20"/>
        </w:rPr>
        <w:t xml:space="preserve">Where oil and high voltage meet, safety is part of the design. The flash point of conventional ATFs is 170–210 °C (</w:t>
      </w:r>
      <w:hyperlink w:history="1" r:id="rIdhimjmpkn23u-3dvz2yoqw">
        <w:r>
          <w:rPr>
            <w:color w:val="0563C1"/>
            <w:sz w:val="20"/>
            <w:szCs w:val="20"/>
            <w:u w:val="single"/>
          </w:rPr>
          <w:t xml:space="preserve">Servo Transdex III</w:t>
        </w:r>
      </w:hyperlink>
      <w:r>
        <w:rPr>
          <w:sz w:val="20"/>
          <w:szCs w:val="20"/>
        </w:rPr>
        <w:t xml:space="preserve">; </w:t>
      </w:r>
      <w:hyperlink w:history="1" r:id="rIdavx_uob8yhp3btjwfp_f-">
        <w:r>
          <w:rPr>
            <w:color w:val="0563C1"/>
            <w:sz w:val="20"/>
            <w:szCs w:val="20"/>
            <w:u w:val="single"/>
          </w:rPr>
          <w:t xml:space="preserve">Power ATF D III H</w:t>
        </w:r>
      </w:hyperlink>
      <w:r>
        <w:rPr>
          <w:sz w:val="20"/>
          <w:szCs w:val="20"/>
        </w:rPr>
        <w:t xml:space="preserve">); HEFT carried out its aging at 160 °C because of its oil's 180 °C fire point (</w:t>
      </w:r>
      <w:hyperlink w:history="1" r:id="rIdexxy0ehcj8zpt2etfpoln">
        <w:r>
          <w:rPr>
            <w:color w:val="0563C1"/>
            <w:sz w:val="20"/>
            <w:szCs w:val="20"/>
            <w:u w:val="single"/>
          </w:rPr>
          <w:t xml:space="preserve">HEFT D2.4</w:t>
        </w:r>
      </w:hyperlink>
      <w:r>
        <w:rPr>
          <w:sz w:val="20"/>
          <w:szCs w:val="20"/>
        </w:rPr>
        <w:t xml:space="preserve">). Aging should be done at least 20 K below the flash or fire point of the fluid, in closed vessels, and the vessels should be cooled to room temperature before they are opened (</w:t>
      </w:r>
      <w:hyperlink w:history="1" r:id="rIdevixh9mo4ihgapvvrtbyf">
        <w:r>
          <w:rPr>
            <w:color w:val="0563C1"/>
            <w:sz w:val="20"/>
            <w:szCs w:val="20"/>
            <w:u w:val="single"/>
          </w:rPr>
          <w:t xml:space="preserve">IEC 60851-4</w:t>
        </w:r>
      </w:hyperlink>
      <w:r>
        <w:rPr>
          <w:sz w:val="20"/>
          <w:szCs w:val="20"/>
        </w:rPr>
        <w:t xml:space="preserve">; recommendation). A sample dripping with oil should not be energized in a hot-air oven: oil vapor both lowers PDIV (</w:t>
      </w:r>
      <w:hyperlink w:history="1" r:id="rIdfmzb90f53lcxp0fdmggrr">
        <w:r>
          <w:rPr>
            <w:color w:val="0563C1"/>
            <w:sz w:val="20"/>
            <w:szCs w:val="20"/>
            <w:u w:val="single"/>
          </w:rPr>
          <w:t xml:space="preserve">Martinez et al. 2025</w:t>
        </w:r>
      </w:hyperlink>
      <w:r>
        <w:rPr>
          <w:sz w:val="20"/>
          <w:szCs w:val="20"/>
        </w:rPr>
        <w:t xml:space="preserve">) and creates a risk of ignition from PD or a breakdown arc (inference). The aging oven, the blotting and draining bench and the PD oven should be separate stations; the PD oven should be cleaned between oily batches, and a reference sample should be run to catch contamination. Energized vessels should have HV bushings and be nitrogen-blanketed and pressure-relieved; the source should be current-limited and have breakdown detection so that no arc is sustained in the oil; samples should be discharged and grounded before the vessel is opened (recommendation). The test area should be in an interlocked, grounded Faraday cage compliant with EN 50191 (</w:t>
      </w:r>
      <w:hyperlink w:history="1" r:id="rIdig9hs2i3kqv9d6ijqzhji">
        <w:r>
          <w:rPr>
            <w:color w:val="0563C1"/>
            <w:sz w:val="20"/>
            <w:szCs w:val="20"/>
            <w:u w:val="single"/>
          </w:rPr>
          <w:t xml:space="preserve">Metrel EN 50191 guide</w:t>
        </w:r>
      </w:hyperlink>
      <w:r>
        <w:rPr>
          <w:sz w:val="20"/>
          <w:szCs w:val="20"/>
        </w:rPr>
        <w:t xml:space="preserve">). Because the flash point of low-viscosity e-fluids may differ from that of conventional ATFs, the safety data sheet of the fluid used should be obtained.</w:t>
      </w:r>
    </w:p>
    <w:p>
      <w:pPr>
        <w:pStyle w:val="Heading1"/>
      </w:pPr>
      <w:bookmarkStart w:name="_TocH017" w:id="18"/>
      <w:r>
        <w:t xml:space="preserve">Conclusion</w:t>
      </w:r>
      <w:bookmarkEnd w:id="18"/>
    </w:p>
    <w:p>
      <w:r>
        <w:rPr>
          <w:sz w:val="20"/>
          <w:szCs w:val="20"/>
        </w:rPr>
        <w:t xml:space="preserve">The voltage dimension changes the question of the study: the question "which insulation degrades least in oil?" turns into "after aging in oil, which bus voltage does each insulation carry, in which wetness state and with what margin?" The skeleton needed for this translation is already in the plan, provided that the measurements are made hot, in defined states and per path. The resulting Udc,perm(t) curves give both the 800/1200/1600 V verdict and the answer for any future bus voltage from the same data. The most important new insight is that the measurement state is as decisive as the voltage class: oil state and aging together can eat up as much margin as doubling the bus voltage. A result measured in oil at room temperature can therefore approve the wrong class; for a value to deliver a class verdict, its state, temperature, waveform and statistic should be reported together with the value.</w:t>
      </w:r>
    </w:p>
    <w:p>
      <w:r>
        <w:rPr>
          <w:sz w:val="20"/>
          <w:szCs w:val="20"/>
        </w:rPr>
        <w:t xml:space="preserve">At 1600 V the picture is reversed. This class lies outside the automotive standards, and the P/P and P/G paths are not within the PD-free reach of any published wire insulation. The glass-fiber stock types, regarded as weak candidates at 800 V because they are thick and porous, become the most relevant part of the study at 1600 V as a PD-resistant comparison class. The energized corrosion arm is a similar opportunity: e-fluid tests are at 5 V, machine potentials at 800–1800 V, and there is no study measuring the 16–32-fold field difference in between. Four decisions should be settled before starting: the measured overshoot factor of the drive (integrated or cabled), the T/T margin from the winding plan, the evaluation framework (HEFT, IEC or both) and the chemistry and thickness of the enamel in stock, the tape adhesive and the foil type. Without them, the same PDIV data support a bus voltage that differs by 20–25% depending on the framework.</w:t>
      </w:r>
    </w:p>
    <w:sectPr>
      <w:headerReference w:type="default" r:id="rId13"/>
      <w:footerReference w:type="default" r:id="rId14"/>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DC Bus Voltage Classes in an Oil-Aging Study of Hairpin Insulation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DC Bus Voltage Classes in an Oil-Aging Study of Hairpin Insulation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7F7F7F"/>
        <w:sz w:val="16"/>
        <w:szCs w:val="16"/>
      </w:rPr>
      <w:t xml:space="preserve">DC Bus Voltage Classes in an Oil-Aging Study of Hairpin Insulation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keepLines/>
      <w:spacing w:after="120" w:before="240"/>
      <w:outlineLvl w:val="1"/>
    </w:pPr>
    <w:rPr>
      <w:rFonts w:ascii="Calibri" w:cs="Calibri" w:eastAsia="Calibri" w:hAnsi="Calibri"/>
      <w:b/>
      <w:bCs/>
      <w:color w:val="2E5597"/>
      <w:sz w:val="26"/>
      <w:szCs w:val="26"/>
    </w:rPr>
  </w:style>
  <w:style w:type="paragraph" w:styleId="TOC1">
    <w:name w:val="toc 1"/>
    <w:basedOn w:val="Normal"/>
    <w:next w:val="Normal"/>
    <w:pPr>
      <w:spacing w:after="20" w:before="80"/>
    </w:pPr>
    <w:rPr>
      <w:b/>
      <w:bCs/>
      <w:color w:val="1F3864"/>
      <w:sz w:val="20"/>
      <w:szCs w:val="20"/>
    </w:rPr>
  </w:style>
  <w:style w:type="paragraph" w:styleId="TOC2">
    <w:name w:val="toc 2"/>
    <w:basedOn w:val="Normal"/>
    <w:next w:val="Normal"/>
    <w:pPr>
      <w:spacing w:after="0" w:before="0"/>
      <w:ind w:left="360"/>
    </w:pPr>
    <w:rPr>
      <w:color w:val="595959"/>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_lhjn2b8b-dvju_cz52uh"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pfoskomhukfatvfggml_p" Type="http://schemas.openxmlformats.org/officeDocument/2006/relationships/hyperlink" Target="https://castjournals.cast.org.cn/joweb/jycl/CN/PDF/10.16790/j.cnki.1009-9239.im.2022.03.009" TargetMode="External"/><Relationship Id="rIdy1lrwi674f7bcqfquw99w" Type="http://schemas.openxmlformats.org/officeDocument/2006/relationships/hyperlink" Target="https://cdn.standards.iteh.ai/samples/23527/a1d9bbea464c4242a53f644c696783a0/IEC-60034-18-41-2014-AMD1-2019.pdf" TargetMode="External"/><Relationship Id="rId4mvsefd9tjvboyo097pz-" Type="http://schemas.openxmlformats.org/officeDocument/2006/relationships/hyperlink" Target="https://zenodo.org/records/4562202" TargetMode="External"/><Relationship Id="rId0zwhybaw4dw9by6pchlft" Type="http://schemas.openxmlformats.org/officeDocument/2006/relationships/hyperlink" Target="https://cigre.cz/dokumenty_komise/d1/WG%20D1.43_TB_Final.pdf" TargetMode="External"/><Relationship Id="rIdc6nysmbqgsxdenaci2nlu" Type="http://schemas.openxmlformats.org/officeDocument/2006/relationships/hyperlink" Target="https://www.gambica.org.uk/static/uploaded/e41820bb-886a-463b-829aaa07c6ec486c.pdf" TargetMode="External"/><Relationship Id="rIddx6so84i3_gjytom3ebgp" Type="http://schemas.openxmlformats.org/officeDocument/2006/relationships/hyperlink" Target="https://patents.google.com/patent/US11114972B2/en" TargetMode="External"/><Relationship Id="rIddo7id37sdcx8g5k6dosf7" Type="http://schemas.openxmlformats.org/officeDocument/2006/relationships/hyperlink" Target="http://bib.iem.rwth-aachen.de/IEMpublications/2020FPLow.pdf" TargetMode="External"/><Relationship Id="rIdl7ddpuuri0wqllqm8kjtv"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4xtb8gpt0ikbvf3jj1tiq" Type="http://schemas.openxmlformats.org/officeDocument/2006/relationships/hyperlink" Target="https://cigre.cz/dokumenty_komise/d1/WG%20D1.43_TB_Final.pdf" TargetMode="External"/><Relationship Id="rId8lkrw4yvtw1he6-2imdmx" Type="http://schemas.openxmlformats.org/officeDocument/2006/relationships/hyperlink" Target="https://www.gambica.org.uk/static/uploaded/e41820bb-886a-463b-829aaa07c6ec486c.pdf" TargetMode="External"/><Relationship Id="rIdw0-1omjxe8iodb7h1fwaw" Type="http://schemas.openxmlformats.org/officeDocument/2006/relationships/hyperlink" Target="https://zenodo.org/records/4562202" TargetMode="External"/><Relationship Id="rIdfp2ksbrww47wiw8iswrvy" Type="http://schemas.openxmlformats.org/officeDocument/2006/relationships/hyperlink" Target="https://par.nsf.gov/servlets/purl/10383379" TargetMode="External"/><Relationship Id="rIdr2_v77pltkdyy9zwtbden" Type="http://schemas.openxmlformats.org/officeDocument/2006/relationships/hyperlink" Target="https://doi.org/10.1109/ICEMS56177.2022.9983323" TargetMode="External"/><Relationship Id="rIdlexrzkymlkn7ywqzbpyhi" Type="http://schemas.openxmlformats.org/officeDocument/2006/relationships/hyperlink" Target="https://cris.unibo.it/retrieve/c037e7e3-7f76-4690-a5cf-b13fdf36a5ab/unpaywall-bitstream-1951351576.pdf" TargetMode="External"/><Relationship Id="rIduiu6x9sxtqhdxw58xpoqe"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v6buicrgdcot1xwkq0n59" Type="http://schemas.openxmlformats.org/officeDocument/2006/relationships/hyperlink" Target="https://pmc.ncbi.nlm.nih.gov/articles/PMC8152218/" TargetMode="External"/><Relationship Id="rIdorumfsbihkdmpisuxxvbm" Type="http://schemas.openxmlformats.org/officeDocument/2006/relationships/hyperlink" Target="https://serwiss.bib.hs-hannover.de/frontdoor/deliver/index/docId/3119/file/sahan_etal2024-dv-dt_pulse_generator_testbench.pdf" TargetMode="External"/><Relationship Id="rIdbbqqyqlcee8b7k1mmciov" Type="http://schemas.openxmlformats.org/officeDocument/2006/relationships/hyperlink" Target="https://aisberg.unibg.it/retrieve/edaf162d-7b1c-4f32-b1df-9de9c6f1b09d/J42.pdf" TargetMode="External"/><Relationship Id="rIdpuy9y3ndvpj5bfmcixzlf" Type="http://schemas.openxmlformats.org/officeDocument/2006/relationships/hyperlink" Target="https://cigre.cz/dokumenty_komise/d1/WG%20D1.43_TB_Final.pdf" TargetMode="External"/><Relationship Id="rId7b85is7ji3g9p-qiphdei" Type="http://schemas.openxmlformats.org/officeDocument/2006/relationships/hyperlink" Target="https://cdn.standards.iteh.ai/samples/18905/60c1ca4c89844c41a1b0b3ecfb9a2650/IEC-60034-18-41-2014.pdf" TargetMode="External"/><Relationship Id="rIdbpx-q9x4febl-woppzuwv" Type="http://schemas.openxmlformats.org/officeDocument/2006/relationships/hyperlink" Target="https://www.vde-verlag.de/iec-normen/preview-pdf/info_iec60034-18-42%7Bed1.1%7Db.pdf" TargetMode="External"/><Relationship Id="rId5t7_wyw-n4ho_kmxcfzw_" Type="http://schemas.openxmlformats.org/officeDocument/2006/relationships/hyperlink" Target="https://genorma.com/en/standards/iec-60034-18-41-ed2" TargetMode="External"/><Relationship Id="rIdfhun5rfklf5dcs0ag1cqs" Type="http://schemas.openxmlformats.org/officeDocument/2006/relationships/hyperlink" Target="https://webstore.iec.ch/en/publication/32755" TargetMode="External"/><Relationship Id="rIdwrvqp2dxdtfhmvd6pvg0z" Type="http://schemas.openxmlformats.org/officeDocument/2006/relationships/hyperlink" Target="https://cdn.standards.iteh.ai/samples/18905/60c1ca4c89844c41a1b0b3ecfb9a2650/IEC-60034-18-41-2014.pdf" TargetMode="External"/><Relationship Id="rIdia-maqxm6-7hkh_eszdtj" Type="http://schemas.openxmlformats.org/officeDocument/2006/relationships/hyperlink" Target="https://www.vde-verlag.de/iec-normen/preview-pdf/info_iects61857-42%7Bed1.0%7Den.pdf" TargetMode="External"/><Relationship Id="rId8gcls5fg7envcx6bylv6v" Type="http://schemas.openxmlformats.org/officeDocument/2006/relationships/hyperlink" Target="https://www.gaois.ie/en/terminology/fiat/648045" TargetMode="External"/><Relationship Id="rId9dql0igefhuxf1xb4e59a" Type="http://schemas.openxmlformats.org/officeDocument/2006/relationships/hyperlink" Target="https://blog.ansi.org/ansi/iso-6469-3-2021-safety-for-electric-road-vehicles/" TargetMode="External"/><Relationship Id="rIdmqpxia4hdxykfz5z0qzf9" Type="http://schemas.openxmlformats.org/officeDocument/2006/relationships/hyperlink" Target="https://www.vde-verlag.de/iec-normen/preview-pdf/info_iec60664-1%7Bed3.0%7Db.pdf" TargetMode="External"/><Relationship Id="rIdoc4ttyhdbreb299ksrcgj" Type="http://schemas.openxmlformats.org/officeDocument/2006/relationships/hyperlink" Target="https://www.vde-verlag.de/iec-normen/preview-pdf/info_iec61800-5-1%7Bed3.0%7Db.pdf" TargetMode="External"/><Relationship Id="rIdztctxlzrtdhj16jzkaerc" Type="http://schemas.openxmlformats.org/officeDocument/2006/relationships/hyperlink" Target="https://en.wikipedia.org/wiki/Railway_electrification" TargetMode="External"/><Relationship Id="rId5amn8c6lmpncgayyjnezu" Type="http://schemas.openxmlformats.org/officeDocument/2006/relationships/hyperlink" Target="https://d-nb.info/1376542846/34" TargetMode="External"/><Relationship Id="rIdgpmbovqsi0dr57nvpzsef" Type="http://schemas.openxmlformats.org/officeDocument/2006/relationships/hyperlink" Target="https://www.byd.com/en/news-list/BYD-Unveils-Super-e-Platform-Megawatt-Flash-Charging-Electric-Vehicles-Matching-Refueling-Speeds.html" TargetMode="External"/><Relationship Id="rIdf0dbntp7allepnnjzgdhz" Type="http://schemas.openxmlformats.org/officeDocument/2006/relationships/hyperlink" Target="https://sandbox4-www.anl.gov/sites/www/files/2023-03/MCS_FAQs_Final_3-13-23.pdf" TargetMode="External"/><Relationship Id="rIdjnijggqqox-jz7wkfrivc" Type="http://schemas.openxmlformats.org/officeDocument/2006/relationships/hyperlink" Target="https://www.emobility-engineering.com/?p=16184" TargetMode="External"/><Relationship Id="rId2r_gbtodqvchrhbru-nff" Type="http://schemas.openxmlformats.org/officeDocument/2006/relationships/hyperlink" Target="https://image-ppubs.uspto.gov/dirsearch-public/print/downloadPdf/8847524" TargetMode="External"/><Relationship Id="rIdpcqxleuctkpssrwyuu2fq" Type="http://schemas.openxmlformats.org/officeDocument/2006/relationships/hyperlink" Target="https://www.wolfspeed.com/knowledge-center/article/maximizing-performance-of-1500-v-dc-bus-applications-with-the-2300-v-sic-modules/" TargetMode="External"/><Relationship Id="rId53qjldvxwwtwhg9smbzlg" Type="http://schemas.openxmlformats.org/officeDocument/2006/relationships/hyperlink" Target="https://www.vde-verlag.de/iec-normen/preview-pdf/info_iec60349-2%7Bed3.0%7Db.pdf" TargetMode="External"/><Relationship Id="rIdio_wwy-utntdtfz0cw31z" Type="http://schemas.openxmlformats.org/officeDocument/2006/relationships/hyperlink" Target="https://cdn.standards.iteh.ai/samples/23527/a1d9bbea464c4242a53f644c696783a0/IEC-60034-18-41-2014-AMD1-2019.pdf" TargetMode="External"/><Relationship Id="rIdkdnvmblrpgh9omcak7pa7" Type="http://schemas.openxmlformats.org/officeDocument/2006/relationships/hyperlink" Target="https://www.normsplash.com/Samples/IEC/165459798/IEC-60034-18-41-2014-AMD1-2019-CSV-en-fr-2.pdf" TargetMode="External"/><Relationship Id="rId23z491khcw6snqak51j6m" Type="http://schemas.openxmlformats.org/officeDocument/2006/relationships/hyperlink" Target="https://news.metal.com/newscontent/103388153/Discussion-on-Detection-and-Evaluation-Technology-of-Drive-Motor-Insulation-under-High-voltage-Platform-%5BElectric-Drive-System-Conference%5D" TargetMode="External"/><Relationship Id="rIdukmnahc_ekpodfuu17nbw" Type="http://schemas.openxmlformats.org/officeDocument/2006/relationships/hyperlink" Target="https://zenodo.org/records/4562202" TargetMode="External"/><Relationship Id="rIdgayricnhzl2ja2lcvquzh"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tpngaudqdapfiglm6wa14"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5jec8lj5pb4hghmypj5na" Type="http://schemas.openxmlformats.org/officeDocument/2006/relationships/hyperlink" Target="https://zenodo.org/records/4562202" TargetMode="External"/><Relationship Id="rIdhn38tckzc1mkymht0pjwl"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dsyxamdcpzl_02mbheztw" Type="http://schemas.openxmlformats.org/officeDocument/2006/relationships/hyperlink" Target="https://cdn.standards.iteh.ai/samples/23527/a1d9bbea464c4242a53f644c696783a0/IEC-60034-18-41-2014-AMD1-2019.pdf" TargetMode="External"/><Relationship Id="rId2cvqs5ovigsgqjgnab9zf" Type="http://schemas.openxmlformats.org/officeDocument/2006/relationships/hyperlink" Target="https://www.mdpi.com/1996-1073/17/16/3980" TargetMode="External"/><Relationship Id="rId-dmmagr47urbpnwj6rtl6" Type="http://schemas.openxmlformats.org/officeDocument/2006/relationships/hyperlink" Target="https://www.furukawaelectric.com/review/fr045/fr45_04.pdf" TargetMode="External"/><Relationship Id="rIdhlprravemh9wdh2shmj2p" Type="http://schemas.openxmlformats.org/officeDocument/2006/relationships/hyperlink" Target="https://cris.unibo.it/bitstream/11585/955904/3/PDIV%20prediction%20Gao%20PREPRINT_clean.pdf" TargetMode="External"/><Relationship Id="rIdk0ay2x991rkkslyeais_s"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htpssydns2tkibeaofphp" Type="http://schemas.openxmlformats.org/officeDocument/2006/relationships/hyperlink" Target="https://patents.google.com/patent/US9324476B2/en" TargetMode="External"/><Relationship Id="rId6o5d7enrbh-hy750g0rji" Type="http://schemas.openxmlformats.org/officeDocument/2006/relationships/hyperlink" Target="http://bib.iem.rwth-aachen.de/IEMpublications/2020FPLow.pdf" TargetMode="External"/><Relationship Id="rId-ifybrco7xwsw3gmbnf2q" Type="http://schemas.openxmlformats.org/officeDocument/2006/relationships/hyperlink" Target="https://ntrs.nasa.gov/api/citations/20240007451/downloads/Winding%20Lifetime%20Testing%20V4.pdf" TargetMode="External"/><Relationship Id="rIdx00i419obmstvgotooie3" Type="http://schemas.openxmlformats.org/officeDocument/2006/relationships/hyperlink" Target="https://doi.org/10.1109/ACCESS.2024.3374637" TargetMode="External"/><Relationship Id="rIdrmlz_esohp0ihexlmpaq2" Type="http://schemas.openxmlformats.org/officeDocument/2006/relationships/hyperlink" Target="https://ntrs.nasa.gov/api/citations/20240007451/downloads/Winding%20Lifetime%20Testing%20V4.pdf" TargetMode="External"/><Relationship Id="rIdhz6xjinoh4clboavfu_it" Type="http://schemas.openxmlformats.org/officeDocument/2006/relationships/hyperlink" Target="https://www.intechopen.com/chapters/72854" TargetMode="External"/><Relationship Id="rId3s4mmwsey-ihqfzobwbq0" Type="http://schemas.openxmlformats.org/officeDocument/2006/relationships/hyperlink" Target="https://research.chalmers.se/publication/553400/file/553400_Fulltext.pdf" TargetMode="External"/><Relationship Id="rIdfy7dmnon8vrpjifagofjh"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_gjyt2ixnxbwp6jz_hura" Type="http://schemas.openxmlformats.org/officeDocument/2006/relationships/hyperlink" Target="https://eprints.whiterose.ac.uk/id/eprint/201859/" TargetMode="External"/><Relationship Id="rId5xbsj58ouvsslxzqyux-w" Type="http://schemas.openxmlformats.org/officeDocument/2006/relationships/hyperlink" Target="https://www.mdpi.com/1996-1944/14/24/7555" TargetMode="External"/><Relationship Id="rIdt-7o0xtbta4f7nd6iullk" Type="http://schemas.openxmlformats.org/officeDocument/2006/relationships/hyperlink" Target="https://www.intechopen.com/chapters/72854" TargetMode="External"/><Relationship Id="rIdr2utokij6slrlbqws3niw" Type="http://schemas.openxmlformats.org/officeDocument/2006/relationships/hyperlink" Target="https://cdn.victrex.com/-/media/downloads/literature/ja/victrex_auto_ebook_wirecoatings_04_2024.pdf" TargetMode="External"/><Relationship Id="rIdx5sll7mw6q8v4matjvucm" Type="http://schemas.openxmlformats.org/officeDocument/2006/relationships/hyperlink" Target="https://cris.unibo.it/bitstream/11585/955904/3/PDIV%20prediction%20Gao%20PREPRINT_clean.pdf" TargetMode="External"/><Relationship Id="rId9hcgibhni9ol3xmmi4kaq" Type="http://schemas.openxmlformats.org/officeDocument/2006/relationships/hyperlink" Target="https://www.electro-wind.com/web-files/DuPont/Literature/Kapton-motor-magnet-wire-bulletin.pdf" TargetMode="External"/><Relationship Id="rIdca6zfw1c_8pmltpssyq3s" Type="http://schemas.openxmlformats.org/officeDocument/2006/relationships/hyperlink" Target="https://www.intechopen.com/chapters/72854" TargetMode="External"/><Relationship Id="rId0receilalp3measeufl4l" Type="http://schemas.openxmlformats.org/officeDocument/2006/relationships/hyperlink" Target="https://aisberg.unibg.it/retrieve/edaf162d-7b1c-4f32-b1df-9de9c6f1b09d/J42.pdf" TargetMode="External"/><Relationship Id="rId7hrp17556-b4rfonvuj5i" Type="http://schemas.openxmlformats.org/officeDocument/2006/relationships/hyperlink" Target="https://people.physics.carleton.ca/~msd/tpc_archival_reports/results_2004/docs/mylar.pdf" TargetMode="External"/><Relationship Id="rIdlizzxtbx-bjk2e-71nv4w" Type="http://schemas.openxmlformats.org/officeDocument/2006/relationships/hyperlink" Target="https://patents.google.com/patent/US10109389B2/en" TargetMode="External"/><Relationship Id="rId_wipriesm6awh1mcjnryk" Type="http://schemas.openxmlformats.org/officeDocument/2006/relationships/hyperlink" Target="https://patents.google.com/patent/US9224523B2/en" TargetMode="External"/><Relationship Id="rIdgraexfgltrxvnw4ksucud" Type="http://schemas.openxmlformats.org/officeDocument/2006/relationships/hyperlink" Target="https://www.mdpi.com/1996-1073/17/16/3980" TargetMode="External"/><Relationship Id="rIdzp4q5nlbqkqshdekthuc0" Type="http://schemas.openxmlformats.org/officeDocument/2006/relationships/hyperlink" Target="https://doi.org/10.1109/ACCESS.2024.3374637" TargetMode="External"/><Relationship Id="rIdw3n_-pdoy1acworvyr1g8" Type="http://schemas.openxmlformats.org/officeDocument/2006/relationships/hyperlink" Target="https://powdercoatings.brand.akzonobel.com/m/28e49a6fd077c2f1/original/NAM-Electric-Vehicle-Brochure.pdf" TargetMode="External"/><Relationship Id="rId0oisks8zplnzj-k5t102w" Type="http://schemas.openxmlformats.org/officeDocument/2006/relationships/hyperlink" Target="https://multimedia.3m.com/mws/media/22602O/3mtm-scotchcasttm-electrical-resin-5555.pdf" TargetMode="External"/><Relationship Id="rIdjgs7yp-fuivp4dnewaq3k" Type="http://schemas.openxmlformats.org/officeDocument/2006/relationships/hyperlink" Target="https://castjournals.cast.org.cn/joweb/jycl/EN/PDF/10.16790/j.cnki.1009-9239.im.2022.07.008" TargetMode="External"/><Relationship Id="rIdeycscmwjox8fh4n1a9mc7" Type="http://schemas.openxmlformats.org/officeDocument/2006/relationships/hyperlink" Target="https://nrf.aux.eng.ufl.edu/_files/documents/14389.pdf" TargetMode="External"/><Relationship Id="rIdrhwb6jxclywx4tueekpt1"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czz0fecc8wz16vu7l7rcw" Type="http://schemas.openxmlformats.org/officeDocument/2006/relationships/hyperlink" Target="https://cris.unibo.it/bitstream/11585/955904/3/PDIV%20prediction%20Gao%20PREPRINT_clean.pdf" TargetMode="External"/><Relationship Id="rIdqxnud76pmbiuroyopj9v9" Type="http://schemas.openxmlformats.org/officeDocument/2006/relationships/hyperlink" Target="https://patents.google.com/patent/US10510459" TargetMode="External"/><Relationship Id="rId_h_s_ttnrjxilno9bdiiv" Type="http://schemas.openxmlformats.org/officeDocument/2006/relationships/hyperlink" Target="https://www.mdpi.com/1996-1944/14/24/7555" TargetMode="External"/><Relationship Id="rId3rydbexeo9wqjboo1-vcu" Type="http://schemas.openxmlformats.org/officeDocument/2006/relationships/hyperlink" Target="https://castjournals.cast.org.cn/joweb/jycl/EN/1209927811654095527" TargetMode="External"/><Relationship Id="rIdor1vdf5u66xc9ud3opety" Type="http://schemas.openxmlformats.org/officeDocument/2006/relationships/hyperlink" Target="https://castjournals.cast.org.cn/joweb/jycl/CN/PDF/10.16790/j.cnki.1009-9239.im.2022.03.009" TargetMode="External"/><Relationship Id="rIdeameqakczmehyx-wj9gpa" Type="http://schemas.openxmlformats.org/officeDocument/2006/relationships/hyperlink" Target="https://cris.unibo.it/retrieve/c037e7e3-7f76-4690-a5cf-b13fdf36a5ab/unpaywall-bitstream-1951351576.pdf" TargetMode="External"/><Relationship Id="rIde_sonbyia513goqgxetux" Type="http://schemas.openxmlformats.org/officeDocument/2006/relationships/hyperlink" Target="https://doi.org/10.1109/CEIDP61707.2025.11218465" TargetMode="External"/><Relationship Id="rId68xc7svitvmyusaci5vwq" Type="http://schemas.openxmlformats.org/officeDocument/2006/relationships/hyperlink" Target="https://castjournals.cast.org.cn/joweb/jycl/CN/PDF/10.16790/j.cnki.1009-9239.im.2022.03.009" TargetMode="External"/><Relationship Id="rIdn8rhldqgykijrxnhdyc0h" Type="http://schemas.openxmlformats.org/officeDocument/2006/relationships/hyperlink" Target="https://castjournals.cast.org.cn/joweb/jycl/CN/PDF/10.16790/j.cnki.1009-9239.im.2022.03.009" TargetMode="External"/><Relationship Id="rIdcfhpecdr28mvkwxv80evd" Type="http://schemas.openxmlformats.org/officeDocument/2006/relationships/hyperlink" Target="https://journals.pan.pl//Content/124108/PDF/art16_i.pdf" TargetMode="External"/><Relationship Id="rIdtgpydlncs_iwuncohrmd1" Type="http://schemas.openxmlformats.org/officeDocument/2006/relationships/hyperlink" Target="https://cris.unibo.it/retrieve/c037e7e3-7f76-4690-a5cf-b13fdf36a5ab/unpaywall-bitstream-1951351576.pdf" TargetMode="External"/><Relationship Id="rIdsccwzy2zw-o3eve__oexb" Type="http://schemas.openxmlformats.org/officeDocument/2006/relationships/hyperlink" Target="https://castjournals.cast.org.cn/joweb/jycl/CN/PDF/10.16790/j.cnki.1009-9239.im.2024.06.017" TargetMode="External"/><Relationship Id="rIdmkdaezctyfmeqkn1dm_xb" Type="http://schemas.openxmlformats.org/officeDocument/2006/relationships/hyperlink" Target="https://mdpi-res.com/d_attachment/energies/energies-08-08110/article_deploy/energies-08-08110.pdf" TargetMode="External"/><Relationship Id="rIdoqsnuvsgz4ra6yaqgloga" Type="http://schemas.openxmlformats.org/officeDocument/2006/relationships/hyperlink" Target="https://castjournals.cast.org.cn/joweb/jycl/EN/PDF/10.16790/j.cnki.1009-9239.im.2022.09.007" TargetMode="External"/><Relationship Id="rIdmbdrzlc2phuw7d63o_zyh" Type="http://schemas.openxmlformats.org/officeDocument/2006/relationships/hyperlink" Target="https://cigre.cz/dokumenty_komise/d1/WG%20D1.43_TB_Final.pdf" TargetMode="External"/><Relationship Id="rIdhgz5jw_dy752lp04ep63z" Type="http://schemas.openxmlformats.org/officeDocument/2006/relationships/hyperlink" Target="http://bib.iem.rwth-aachen.de/IEMpublications/2023LYPreliminary.pdf" TargetMode="External"/><Relationship Id="rIdf8_jamunhdxopxjhqoomu" Type="http://schemas.openxmlformats.org/officeDocument/2006/relationships/hyperlink" Target="https://castjournals.cast.org.cn/joweb/jycl/CN/PDF/10.16790/j.cnki.1009-9239.im.2022.03.009" TargetMode="External"/><Relationship Id="rIdlvmgehdvl40pxub7erye3" Type="http://schemas.openxmlformats.org/officeDocument/2006/relationships/hyperlink" Target="https://doi.org/10.1109/EIC68788.2026.11642508" TargetMode="External"/><Relationship Id="rIdasrjixo2ufxmfc35uz73f" Type="http://schemas.openxmlformats.org/officeDocument/2006/relationships/hyperlink" Target="https://castjournals.cast.org.cn/joweb/jycl/CN/PDF/10.16790/j.cnki.1009-9239.im.2024.06.017" TargetMode="External"/><Relationship Id="rIdegyamgfsxrdmj8v7gtync" Type="http://schemas.openxmlformats.org/officeDocument/2006/relationships/hyperlink" Target="https://mdpi-res.com/d_attachment/energies/energies-08-08110/article_deploy/energies-08-08110.pdf" TargetMode="External"/><Relationship Id="rIdgi98vggzitopjfdyh-uz8" Type="http://schemas.openxmlformats.org/officeDocument/2006/relationships/hyperlink" Target="https://saemobilus.sae.org/content/2016-01-2205" TargetMode="External"/><Relationship Id="rIde7gt65h6cxc5hazybwnke" Type="http://schemas.openxmlformats.org/officeDocument/2006/relationships/hyperlink" Target="https://patents.google.com/patent/US11905488" TargetMode="External"/><Relationship Id="rIdny7dahdi_sd0h1z1bymcd" Type="http://schemas.openxmlformats.org/officeDocument/2006/relationships/hyperlink" Target="https://www.sanyo-chemical.co.jp/eng/wp/wp-content/uploads/2026/02/PC_No174.pdf" TargetMode="External"/><Relationship Id="rIdjhtuuox04llkit67nnu9u" Type="http://schemas.openxmlformats.org/officeDocument/2006/relationships/hyperlink" Target="https://mdpi-res.com/d_attachment/lubricants/lubricants-11-00241/article_deploy/lubricants-11-00241.pdf" TargetMode="External"/><Relationship Id="rIdvt6yydjfmlkypl_akas9s" Type="http://schemas.openxmlformats.org/officeDocument/2006/relationships/hyperlink" Target="https://store.astm.org/d8544-24.html" TargetMode="External"/><Relationship Id="rIdwkwyev_rlram7njmdb2fc" Type="http://schemas.openxmlformats.org/officeDocument/2006/relationships/hyperlink" Target="https://patents.google.com/patent/US12529004B2/en" TargetMode="External"/><Relationship Id="rIdu6fltx3e7tyafjx-rjgf4" Type="http://schemas.openxmlformats.org/officeDocument/2006/relationships/hyperlink" Target="https://patents.google.com/patent/US12276636" TargetMode="External"/><Relationship Id="rIdlt0le2_evwizozau_akvw" Type="http://schemas.openxmlformats.org/officeDocument/2006/relationships/hyperlink" Target="https://www.lubesngreases.com/lubereport-americas/4_16/conductive-deposits-pose-threats-to-evs/" TargetMode="External"/><Relationship Id="rIdwfawmqvtfotomihn92bp0" Type="http://schemas.openxmlformats.org/officeDocument/2006/relationships/hyperlink" Target="https://aftonchemical.com/resources-events/industry-trends/emobility-fluids/passivation-pathways" TargetMode="External"/><Relationship Id="rIdpuoejis-euzeqnmdsvpbf" Type="http://schemas.openxmlformats.org/officeDocument/2006/relationships/hyperlink" Target="https://www.savantlab.com/testing-highlights/electric-driveline-fluid-testing-update/" TargetMode="External"/><Relationship Id="rIdpye-u92_ixhoi3zmdktps" Type="http://schemas.openxmlformats.org/officeDocument/2006/relationships/hyperlink" Target="https://www.lubesngreases.com/magazine/27_8/progress-by-failure/" TargetMode="External"/><Relationship Id="rIdqtjnkvyyrllu1zgov8fey"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diu_vsggtevmmfqw45ibp" Type="http://schemas.openxmlformats.org/officeDocument/2006/relationships/hyperlink" Target="https://doi.org/10.1109/IEMDC60492.2025.11060975" TargetMode="External"/><Relationship Id="rIdswanjlmtxjdjyu1efjj2g" Type="http://schemas.openxmlformats.org/officeDocument/2006/relationships/hyperlink" Target="https://d-nb.info/1376542846/34" TargetMode="External"/><Relationship Id="rIdkod_mcmov9agwfgpgjzcc" Type="http://schemas.openxmlformats.org/officeDocument/2006/relationships/hyperlink" Target="https://trid.trb.org/View/2734892" TargetMode="External"/><Relationship Id="rId9ynblo95f1olshpselphq" Type="http://schemas.openxmlformats.org/officeDocument/2006/relationships/hyperlink" Target="https://zenodo.org/records/4562202" TargetMode="External"/><Relationship Id="rId9pdmpu1qii1xateyysyx9" Type="http://schemas.openxmlformats.org/officeDocument/2006/relationships/hyperlink" Target="https://research.chalmers.se/publication/553400/file/553400_Fulltext.pdf" TargetMode="External"/><Relationship Id="rIdmfegkiyhjxfhxyx54bmoh" Type="http://schemas.openxmlformats.org/officeDocument/2006/relationships/hyperlink" Target="https://news.metal.com/newscontent/103388153/Discussion-on-Detection-and-Evaluation-Technology-of-Drive-Motor-Insulation-under-High-voltage-Platform-%5BElectric-Drive-System-Conference%5D" TargetMode="External"/><Relationship Id="rIdqoluyfsekzwxwnelubnpm"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hkyrskslgxrcgup6oxovh" Type="http://schemas.openxmlformats.org/officeDocument/2006/relationships/hyperlink" Target="https://www.vde-verlag.de/iec-normen/preview-pdf/info_iects61857-42%7Bed1.0%7Den.pdf" TargetMode="External"/><Relationship Id="rIdokd-1mpgx09opgmqyz6hl" Type="http://schemas.openxmlformats.org/officeDocument/2006/relationships/hyperlink" Target="https://d-nb.info/1376542846/34" TargetMode="External"/><Relationship Id="rIdakbahhvzijzr4brmvyqed" Type="http://schemas.openxmlformats.org/officeDocument/2006/relationships/hyperlink" Target="https://d-nb.info/1376542846/34" TargetMode="External"/><Relationship Id="rIdystcwpswnjjdpkut-wsxz" Type="http://schemas.openxmlformats.org/officeDocument/2006/relationships/hyperlink" Target="https://zenodo.org/records/4562202" TargetMode="External"/><Relationship Id="rIdkjdj4rbmpapmkalalogqq" Type="http://schemas.openxmlformats.org/officeDocument/2006/relationships/hyperlink" Target="https://doi.org/10.1109/IEMDC60492.2025.11060975" TargetMode="External"/><Relationship Id="rIdmakhwg5wjlpz0e8z8b9iw" Type="http://schemas.openxmlformats.org/officeDocument/2006/relationships/hyperlink" Target="https://webstore.iec.ch/en/publication/25335" TargetMode="External"/><Relationship Id="rIdwr2shoxzfpa2jcwfffygb" Type="http://schemas.openxmlformats.org/officeDocument/2006/relationships/hyperlink" Target="https://cris.fau.de/publications/270664426" TargetMode="External"/><Relationship Id="rIdjqozclia16mamvqn81jsv" Type="http://schemas.openxmlformats.org/officeDocument/2006/relationships/hyperlink" Target="https://www.ttbz.org.cn/upload/file/20251024/6389689969642652828990215.pdf" TargetMode="External"/><Relationship Id="rIdhpeeeapkuwq2rsj9aenkx" Type="http://schemas.openxmlformats.org/officeDocument/2006/relationships/hyperlink" Target="https://webstore.iec.ch/en/publication/25335" TargetMode="External"/><Relationship Id="rIdrpvddjqw1sglgvelztvwt" Type="http://schemas.openxmlformats.org/officeDocument/2006/relationships/hyperlink" Target="https://cigre.cz/dokumenty_komise/d1/WG%20D1.43_TB_Final.pdf" TargetMode="External"/><Relationship Id="rIdgchtikhuxrwdemh_juk95" Type="http://schemas.openxmlformats.org/officeDocument/2006/relationships/hyperlink" Target="https://zenodo.org/records/4562202" TargetMode="External"/><Relationship Id="rId8qgjwylime669zstugglp" Type="http://schemas.openxmlformats.org/officeDocument/2006/relationships/hyperlink" Target="https://mdpi-res.com/d_attachment/applsci/applsci-13-02417/article_deploy/applsci-13-02417.pdf" TargetMode="External"/><Relationship Id="rIdgqgjiks6rqk4acwulemeq" Type="http://schemas.openxmlformats.org/officeDocument/2006/relationships/hyperlink" Target="http://bib.iem.rwth-aachen.de/IEMpublications/2022NDInfluence.pdf" TargetMode="External"/><Relationship Id="rIdsql_khafori6mwklxzash" Type="http://schemas.openxmlformats.org/officeDocument/2006/relationships/hyperlink" Target="https://www.furukawaelectric.com/review/fr045/fr45_04.pdf" TargetMode="External"/><Relationship Id="rIdhw4n50v_3cibruamej3l_" Type="http://schemas.openxmlformats.org/officeDocument/2006/relationships/hyperlink" Target="https://cdn.standards.iteh.ai/samples/23255/adc22c15e39342919b4552a9e81aa3ea/IEC-TS-60034-27-5-2021.pdf" TargetMode="External"/><Relationship Id="rIdu51f8k5za1apujqnqlzcz" Type="http://schemas.openxmlformats.org/officeDocument/2006/relationships/hyperlink" Target="https://cdn.standards.iteh.ai/samples/103347/2bb1cad446b6434e882415029f27724e/IEC-TS-61934-2024.pdf" TargetMode="External"/><Relationship Id="rIdf-przmsyjatjajvtji1r1" Type="http://schemas.openxmlformats.org/officeDocument/2006/relationships/hyperlink" Target="https://zenodo.org/records/4562202" TargetMode="External"/><Relationship Id="rIdkvqcqa0ki_vpeulxerzq3" Type="http://schemas.openxmlformats.org/officeDocument/2006/relationships/hyperlink" Target="http://bib.iem.rwth-aachen.de/IEMpublications/2020FPLow.pdf" TargetMode="External"/><Relationship Id="rIdu5unrp61ykwgzz7oeiqlv" Type="http://schemas.openxmlformats.org/officeDocument/2006/relationships/hyperlink" Target="http://bib.iem.rwth-aachen.de/IEMpublications/2022NDInfluence.pdf" TargetMode="External"/><Relationship Id="rId8l7lwdutf0abc-jtufkzd" Type="http://schemas.openxmlformats.org/officeDocument/2006/relationships/hyperlink" Target="http://bib.iem.rwth-aachen.de/IEMpublications/2022NDInfluence.pdf" TargetMode="External"/><Relationship Id="rIdi9363g71yiefobto-g0pj" Type="http://schemas.openxmlformats.org/officeDocument/2006/relationships/hyperlink" Target="https://pmc.ncbi.nlm.nih.gov/articles/PMC8152218/" TargetMode="External"/><Relationship Id="rIduzxn_uurwjzxxinqh5fts" Type="http://schemas.openxmlformats.org/officeDocument/2006/relationships/hyperlink" Target="https://www.schleich.com/en/partial-discharge-test-devices/" TargetMode="External"/><Relationship Id="rId4w0djjnlcmhczllhmn_xb" Type="http://schemas.openxmlformats.org/officeDocument/2006/relationships/hyperlink" Target="https://www.atecorp.com/getmedia/9b2115e6-673c-4735-be9a-65b146496c7d/iTIG-IV-4-15kV-Electrom-Surge-Tester.pdf?ext=.pdf" TargetMode="External"/><Relationship Id="rIdq3xhgbx1cciv9gekkgslc" Type="http://schemas.openxmlformats.org/officeDocument/2006/relationships/hyperlink" Target="https://www.solfas.com/partial-discharge-sta-advanced-series/" TargetMode="External"/><Relationship Id="rIdhsmjlrmnshupfbiuzdlof" Type="http://schemas.openxmlformats.org/officeDocument/2006/relationships/hyperlink" Target="https://pmc.ncbi.nlm.nih.gov/articles/PMC8152218/" TargetMode="External"/><Relationship Id="rIdybqeac077xsudx-c26mpt" Type="http://schemas.openxmlformats.org/officeDocument/2006/relationships/hyperlink" Target="https://pubs.aip.org/aip/rsi/article-abstract/92/11/114705/596176/A-5-kV-pulse-generator-with-a-100-kV-s-slew-rate" TargetMode="External"/><Relationship Id="rIdl0bdzjsmnynesdc3etotw" Type="http://schemas.openxmlformats.org/officeDocument/2006/relationships/hyperlink" Target="https://zenodo.org/records/4562202" TargetMode="External"/><Relationship Id="rId2uhqcfc72buefwbd3lyi0" Type="http://schemas.openxmlformats.org/officeDocument/2006/relationships/hyperlink" Target="https://www.solfas.com/partial-discharge-sta-advanced-series/" TargetMode="External"/><Relationship Id="rIdhkhvglpcczv1xue9wowlk" Type="http://schemas.openxmlformats.org/officeDocument/2006/relationships/hyperlink" Target="https://cdn.standards.iteh.ai/samples/103347/2bb1cad446b6434e882415029f27724e/IEC-TS-61934-2024.pdf" TargetMode="External"/><Relationship Id="rIdoyrn1zgqvhj2jibkhtdwe" Type="http://schemas.openxmlformats.org/officeDocument/2006/relationships/hyperlink" Target="http://bib.iem.rwth-aachen.de/IEMpublications/2022NDInfluence.pdf" TargetMode="External"/><Relationship Id="rIdpvlycygo0yqptnsibts_b" Type="http://schemas.openxmlformats.org/officeDocument/2006/relationships/hyperlink" Target="https://pmc.ncbi.nlm.nih.gov/articles/PMC8152218/" TargetMode="External"/><Relationship Id="rIdrmn9oaoukmwk9erxfhwtm" Type="http://schemas.openxmlformats.org/officeDocument/2006/relationships/hyperlink" Target="https://www.schleich.com/en/partial-discharge-test-devices/" TargetMode="External"/><Relationship Id="rIdvroztwxs5fcfe4tfchzyg" Type="http://schemas.openxmlformats.org/officeDocument/2006/relationships/hyperlink" Target="https://cdn.standards.iteh.ai/samples/103347/2bb1cad446b6434e882415029f27724e/IEC-TS-61934-2024.pdf" TargetMode="External"/><Relationship Id="rIdyvzo3n2hxtm8jzh1qn3hf" Type="http://schemas.openxmlformats.org/officeDocument/2006/relationships/hyperlink" Target="https://d-nb.info/1376542846/34" TargetMode="External"/><Relationship Id="rIdqlferzzweqhc_ubqaig7y" Type="http://schemas.openxmlformats.org/officeDocument/2006/relationships/hyperlink" Target="http://bib.iem.rwth-aachen.de/IEMpublications/2022NDInfluence.pdf" TargetMode="External"/><Relationship Id="rIdaq_xzgsir6r1h5oo9ldxg" Type="http://schemas.openxmlformats.org/officeDocument/2006/relationships/hyperlink" Target="https://webstore.iec.ch/en/publication/25335" TargetMode="External"/><Relationship Id="rIdxqkwa_6e8it_r1tlbgn9l" Type="http://schemas.openxmlformats.org/officeDocument/2006/relationships/hyperlink" Target="https://www.ttbz.org.cn/upload/file/20251024/6389689969642652828990215.pdf" TargetMode="External"/><Relationship Id="rId93gyaupqoc04lviuv6pa6" Type="http://schemas.openxmlformats.org/officeDocument/2006/relationships/hyperlink" Target="https://mdpi-res.com/d_attachment/lubricants/lubricants-11-00241/article_deploy/lubricants-11-00241.pdf" TargetMode="External"/><Relationship Id="rIdinxqy7i9ps7ooxul-s4_i" Type="http://schemas.openxmlformats.org/officeDocument/2006/relationships/hyperlink" Target="https://patents.google.com/patent/US11905488" TargetMode="External"/><Relationship Id="rIdybpja0cvedkwehpy8rgbm" Type="http://schemas.openxmlformats.org/officeDocument/2006/relationships/hyperlink" Target="https://pmc.ncbi.nlm.nih.gov/articles/PMC8152218/" TargetMode="External"/><Relationship Id="rIds9fpz09sv7vdx54bvbaul" Type="http://schemas.openxmlformats.org/officeDocument/2006/relationships/hyperlink" Target="https://www.metrel.si/assets/Metrel/PDF_dokumentacija/Handbook/Ang/MI_3394_CE_MultiTesterXS/Guide%20working%20place%20acording%20to%20EN%2050191_Ang_2021.pdf" TargetMode="External"/><Relationship Id="rIdrvgqo4cgdo3wwudbxsjm9" Type="http://schemas.openxmlformats.org/officeDocument/2006/relationships/hyperlink" Target="https://d-nb.info/1376542846/34" TargetMode="External"/><Relationship Id="rIdoys-ndxsnkfcfh3raaqwo" Type="http://schemas.openxmlformats.org/officeDocument/2006/relationships/hyperlink" Target="https://cigre.cz/dokumenty_komise/d1/WG%20D1.43_TB_Final.pdf" TargetMode="External"/><Relationship Id="rIdpkxgx36f2e7_z2lbgvm91" Type="http://schemas.openxmlformats.org/officeDocument/2006/relationships/hyperlink" Target="https://patents.google.com/patent/US12276636" TargetMode="External"/><Relationship Id="rIdep-1i7pryykreyzeafpei" Type="http://schemas.openxmlformats.org/officeDocument/2006/relationships/hyperlink" Target="https://store.astm.org/d8544-24.html" TargetMode="External"/><Relationship Id="rIdki47gria1qlxloc-eyt4l" Type="http://schemas.openxmlformats.org/officeDocument/2006/relationships/hyperlink" Target="https://castjournals.cast.org.cn/joweb/jycl/CN/PDF/10.16790/j.cnki.1009-9239.im.2024.06.017" TargetMode="External"/><Relationship Id="rIdtbzlwiauxgntsf4kwu0f2" Type="http://schemas.openxmlformats.org/officeDocument/2006/relationships/hyperlink" Target="https://www.vde-verlag.de/iec-normen/preview-pdf/info_iec60034-18-42%7Bed1.1%7Db.pdf" TargetMode="External"/><Relationship Id="rIdpf1ceqoxodbdot3uexbjx" Type="http://schemas.openxmlformats.org/officeDocument/2006/relationships/hyperlink" Target="https://cigre.cz/dokumenty_komise/d1/WG%20D1.43_TB_Final.pdf" TargetMode="External"/><Relationship Id="rId6qztpqib17rwag4a2oumb" Type="http://schemas.openxmlformats.org/officeDocument/2006/relationships/hyperlink" Target="https://www.intechopen.com/chapters/72854" TargetMode="External"/><Relationship Id="rIdujthro2no7z2vxvphujbs"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ftdm8xeghe46pgospr16-" Type="http://schemas.openxmlformats.org/officeDocument/2006/relationships/hyperlink" Target="https://zenodo.org/records/4562202" TargetMode="External"/><Relationship Id="rIdowumcrny7uoa6bu3fcn6l" Type="http://schemas.openxmlformats.org/officeDocument/2006/relationships/hyperlink" Target="https://cris.unibo.it/retrieve/c037e7e3-7f76-4690-a5cf-b13fdf36a5ab/unpaywall-bitstream-1951351576.pdf" TargetMode="External"/><Relationship Id="rIdsqmr2nptckgvhkpyemkwi"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jtu7mhueu9-ikq41r-slu"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hooichmtvwq2uvo8m446h" Type="http://schemas.openxmlformats.org/officeDocument/2006/relationships/hyperlink" Target="https://zenodo.org/records/4562202" TargetMode="External"/><Relationship Id="rIdpxnk1iizahjw8wf-kfd5z" Type="http://schemas.openxmlformats.org/officeDocument/2006/relationships/hyperlink" Target="https://news.metal.com/newscontent/103388153/Discussion-on-Detection-and-Evaluation-Technology-of-Drive-Motor-Insulation-under-High-voltage-Platform-%5BElectric-Drive-System-Conference%5D" TargetMode="External"/><Relationship Id="rIdmzbwkc05qmvr2c_waefai" Type="http://schemas.openxmlformats.org/officeDocument/2006/relationships/hyperlink" Target="https://zenodo.org/records/4562202" TargetMode="External"/><Relationship Id="rIdiekbrbyhkeiipbeosu8g_" Type="http://schemas.openxmlformats.org/officeDocument/2006/relationships/hyperlink" Target="http://bib.iem.rwth-aachen.de/IEMpublications/2020FPLow.pdf" TargetMode="External"/><Relationship Id="rIdskt0gr7olh1jlzxnef7ju" Type="http://schemas.openxmlformats.org/officeDocument/2006/relationships/hyperlink" Target="http://bib.iem.rwth-aachen.de/IEMpublications/2022NDInfluence.pdf" TargetMode="External"/><Relationship Id="rIdmiuvwm_i2intcmd6etasn" Type="http://schemas.openxmlformats.org/officeDocument/2006/relationships/hyperlink" Target="https://webstore.iec.ch/en/publication/25335" TargetMode="External"/><Relationship Id="rIdo6wfhoje8qhy4vmtltdq4" Type="http://schemas.openxmlformats.org/officeDocument/2006/relationships/hyperlink" Target="https://webstore.iec.ch/en/publication/25335" TargetMode="External"/><Relationship Id="rIdzwfqdh-vspdqi5rcno7sz" Type="http://schemas.openxmlformats.org/officeDocument/2006/relationships/hyperlink" Target="https://cdn.standards.iteh.ai/samples/23527/a1d9bbea464c4242a53f644c696783a0/IEC-60034-18-41-2014-AMD1-2019.pdf" TargetMode="External"/><Relationship Id="rIdmoz7nirlekdcocypiqlip" Type="http://schemas.openxmlformats.org/officeDocument/2006/relationships/hyperlink" Target="https://news.metal.com/newscontent/103388153/Discussion-on-Detection-and-Evaluation-Technology-of-Drive-Motor-Insulation-under-High-voltage-Platform-%5BElectric-Drive-System-Conference%5D" TargetMode="External"/><Relationship Id="rId7ost-utrivn7etlazqi50" Type="http://schemas.openxmlformats.org/officeDocument/2006/relationships/hyperlink" Target="https://store.astm.org/d8544-24.html" TargetMode="External"/><Relationship Id="rIdhimjmpkn23u-3dvz2yoqw" Type="http://schemas.openxmlformats.org/officeDocument/2006/relationships/hyperlink" Target="https://iocl.com/Downloads/Servo_Transdex_III.pdf" TargetMode="External"/><Relationship Id="rIdavx_uob8yhp3btjwfp_f-" Type="http://schemas.openxmlformats.org/officeDocument/2006/relationships/hyperlink" Target="https://apar.com/wp-content/uploads/2021/02/1-PDS-POWER-ATF-D-III-H.pdf" TargetMode="External"/><Relationship Id="rIdexxy0ehcj8zpt2etfpoln" Type="http://schemas.openxmlformats.org/officeDocument/2006/relationships/hyperlink" Target="https://site.unibo.it/heftproject/en/publications/d2-4-analysis-and-validation-of-machine-insulation-for-800v-dc-bus.pdf/@@download/file/D2.4%20Analysis%20and%20validation%20of%20machine%20insulation%20for%20800V%20DC%20bus.pdf" TargetMode="External"/><Relationship Id="rIdevixh9mo4ihgapvvrtbyf" Type="http://schemas.openxmlformats.org/officeDocument/2006/relationships/hyperlink" Target="https://webstore.iec.ch/en/publication/25335" TargetMode="External"/><Relationship Id="rIdfmzb90f53lcxp0fdmggrr" Type="http://schemas.openxmlformats.org/officeDocument/2006/relationships/hyperlink" Target="https://cris.unibo.it/retrieve/c037e7e3-7f76-4690-a5cf-b13fdf36a5ab/unpaywall-bitstream-1951351576.pdf" TargetMode="External"/><Relationship Id="rIdig9hs2i3kqv9d6ijqzhji" Type="http://schemas.openxmlformats.org/officeDocument/2006/relationships/hyperlink" Target="https://www.metrel.si/assets/Metrel/PDF_dokumentacija/Handbook/Ang/MI_3394_CE_MultiTesterXS/Guide%20working%20place%20acording%20to%20EN%2050191_Ang_2021.pdf" TargetMode="External"/><Relationship Id="rId20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Aging in oil lowers the permissible bus voltage</dc:title>
  <dc:subject>Adding DC bus voltage classes to an oil-aging study of hairpin winding insulation</dc:subject>
  <dc:creator>Un-named</dc:creator>
  <dc:description>Report on adding 800, 1200 and 1600 V DC bus voltage classes to an oil-immersion aging and corrosion study of insulated hairpin conductors</dc:description>
  <cp:lastModifiedBy>Un-named</cp:lastModifiedBy>
  <cp:revision>1</cp:revision>
  <dcterms:created xsi:type="dcterms:W3CDTF">2026-10-20T07:05:33.583Z</dcterms:created>
  <dcterms:modified xsi:type="dcterms:W3CDTF">2026-10-20T07:05:33.594Z</dcterms:modified>
</cp:coreProperties>
</file>

<file path=docProps/custom.xml><?xml version="1.0" encoding="utf-8"?>
<Properties xmlns="http://schemas.openxmlformats.org/officeDocument/2006/custom-properties" xmlns:vt="http://schemas.openxmlformats.org/officeDocument/2006/docPropsVTypes"/>
</file>