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4"/>
          <w:szCs w:val="34"/>
        </w:rPr>
        <w:t xml:space="preserve">Hairpin Yalıtımları Temel Test Planı</w:t>
      </w:r>
    </w:p>
    <w:p>
      <w:pPr>
        <w:spacing w:after="80"/>
      </w:pPr>
      <w:r>
        <w:rPr>
          <w:color w:val="595959"/>
          <w:sz w:val="22"/>
          <w:szCs w:val="22"/>
        </w:rPr>
        <w:t xml:space="preserve">Önce yağsız, sonra aynı numunelerle yağda yapılacak temel testler: sıra, yöntem ve değerlendirme</w:t>
      </w:r>
    </w:p>
    <w:p>
      <w:pPr>
        <w:pBdr>
          <w:bottom w:val="single" w:color="2E5597" w:sz="8" w:space="6"/>
        </w:pBdr>
        <w:spacing w:after="200"/>
      </w:pPr>
      <w:r>
        <w:rPr>
          <w:b/>
          <w:bCs/>
          <w:color w:val="595959"/>
          <w:sz w:val="18"/>
          <w:szCs w:val="18"/>
        </w:rPr>
        <w:t xml:space="preserve">Sürüm: </w:t>
      </w:r>
      <w:r>
        <w:rPr>
          <w:color w:val="595959"/>
          <w:sz w:val="18"/>
          <w:szCs w:val="18"/>
        </w:rPr>
        <w:t xml:space="preserve">Taslak 3 — temel plan</w:t>
      </w:r>
      <w:r>
        <w:rPr>
          <w:color w:val="7F7F7F"/>
          <w:sz w:val="18"/>
          <w:szCs w:val="18"/>
        </w:rPr>
        <w:t xml:space="preserve">   ·   </w:t>
      </w:r>
      <w:r>
        <w:rPr>
          <w:b/>
          <w:bCs/>
          <w:color w:val="595959"/>
          <w:sz w:val="18"/>
          <w:szCs w:val="18"/>
        </w:rPr>
        <w:t xml:space="preserve">Tarih: </w:t>
      </w:r>
      <w:r>
        <w:rPr>
          <w:color w:val="595959"/>
          <w:sz w:val="18"/>
          <w:szCs w:val="18"/>
        </w:rPr>
        <w:t xml:space="preserve">20 Ekim 2026</w:t>
      </w:r>
    </w:p>
    <w:p>
      <w:r>
        <w:rPr>
          <w:sz w:val="20"/>
          <w:szCs w:val="20"/>
        </w:rPr>
        <w:t xml:space="preserve">Test iki aşamadan oluşur. Aşama 1'de numuneler yağsız ölçülür. Aşama 2'de aynı numuneler 150 °C'de 1000 h yaşlandırılır: yarısı e-yağda (YK), yarısı havada (HK). Ardından aynı ölçümler tekrarlanır.</w:t>
      </w:r>
    </w:p>
    <w:p>
      <w:r>
        <w:rPr>
          <w:sz w:val="20"/>
          <w:szCs w:val="20"/>
        </w:rPr>
        <w:t xml:space="preserve">Plan beş temel testle sınırlıdır: fotoğraf, kütle/kalınlık, yalıtım direnci, PDIV ve delinme gerilimi (BDV). Her numune kendi yağsız değerine göre değerlendirilir; hava kolu, ısının etkisini yağın etkisinden ayırır.</w:t>
      </w:r>
    </w:p>
    <w:p>
      <w:pPr>
        <w:pStyle w:val="Heading1"/>
      </w:pPr>
      <w:r>
        <w:t xml:space="preserve">1. Numuneler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562"/>
        <w:gridCol w:w="1929"/>
        <w:gridCol w:w="2447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Kod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Yalıtım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Kesit (mm)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Not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Poliimid (Kapton) bant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4,35 × 2,10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Stok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KC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Kapton bant + cam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4,35 × 2,10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Stok (4 kg)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C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Cam izole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4,35 × 2,10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Stok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E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Emaye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5,60 × 2,25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Stok; kesit farklı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FC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Folyo + cam (opsiyonel)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7,15 × 2,05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Stok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B grubu</w:t>
            </w:r>
          </w:p>
        </w:tc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Ekstrüde PEEK, PEEK tüp, PEEK makaron, epoksi toz, parylene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4,35 × 2,10</w:t>
            </w:r>
          </w:p>
        </w:tc>
        <w:tc>
          <w:tcPr>
            <w:tcW w:type="dxa" w:w="2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Malzeme hazır olunca aynı planla</w:t>
            </w:r>
          </w:p>
        </w:tc>
      </w:tr>
    </w:tbl>
    <w:p>
      <w:pPr>
        <w:spacing w:after="120" w:before="0"/>
      </w:pPr>
    </w:p>
    <w:p>
      <w:pPr>
        <w:keepNext/>
      </w:pPr>
      <w:r>
        <w:rPr>
          <w:sz w:val="20"/>
          <w:szCs w:val="20"/>
        </w:rPr>
        <w:t xml:space="preserve">Numune tipleri: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Düz numune:</w:t>
      </w:r>
      <w:r>
        <w:rPr>
          <w:sz w:val="20"/>
          <w:szCs w:val="20"/>
        </w:rPr>
        <w:t xml:space="preserve"> 300 mm. Bir ucu bağlantı için 15 mm soyulur; diğer uç ve soyulan uçtaki yalıtım kenarı yağa dayanıklı epoksiyle kapatılır. Fotoğraf, kütle/kalınlık ve BDV bu numunelerde yapılır.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Sırt sırta çift:</w:t>
      </w:r>
      <w:r>
        <w:rPr>
          <w:sz w:val="20"/>
          <w:szCs w:val="20"/>
        </w:rPr>
        <w:t xml:space="preserve"> iki düz numune 150 mm kaydırılarak geniş yüzleri üst üste gelecek şekilde konur; temas boyu 150 mm'dir ve soyulmuş uçlar dışa bakar. Çift yalnız ölçüm sırasında PTFE bant veya kelepçeyle birleştirilir; yaşlandırmada numuneler ayrıdır. Sonda aynı iki numune aynı konumda yeniden birleştirilir. Yalıtım direnci ve PDIV için.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Açık uçlu numune:</w:t>
      </w:r>
      <w:r>
        <w:rPr>
          <w:sz w:val="20"/>
          <w:szCs w:val="20"/>
        </w:rPr>
        <w:t xml:space="preserve"> 300 mm; bir ucu açık ve 20 mm soyulmuş. Kesik uçta korozyonu fotoğraflamak için.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Bakır tanık şerit:</w:t>
      </w:r>
      <w:r>
        <w:rPr>
          <w:sz w:val="20"/>
          <w:szCs w:val="20"/>
        </w:rPr>
        <w:t xml:space="preserve"> 6 × 25 mm çıplak bakır; her yağ kabında biri yağda, biri yağın üstünde. Yağın korozifliğini gösterir.</w:t>
      </w:r>
    </w:p>
    <w:p>
      <w:pPr>
        <w:keepNext w:val="false"/>
      </w:pPr>
      <w:r>
        <w:rPr>
          <w:sz w:val="20"/>
          <w:szCs w:val="20"/>
        </w:rPr>
        <w:t xml:space="preserve">Hazırlık: numuneler nitril eldivenle tutulur, tüm ailelerde aynı şekilde izopropanolle silinir ve yağa dayanıklı bir kodla işaretlenir. Ölçümlerden önce 23 ± 2 °C ve %50 ± 5 bağıl nemde en az 24 h bekletilir.</w:t>
      </w:r>
    </w:p>
    <w:p>
      <w:pPr>
        <w:pStyle w:val="Heading1"/>
      </w:pPr>
      <w:r>
        <w:t xml:space="preserve">2. Test akışı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1. Temel test akışı</w:t>
      </w:r>
    </w:p>
    <w:p>
      <w:pPr>
        <w:pStyle w:val="Heading2"/>
      </w:pPr>
      <w:r>
        <w:t xml:space="preserve">Aşama 1 — Yağsız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Giriş kontrolü: veri sayfası ve parti bilgisi toplanır; numuneler kesilir, uçları hazırlanır ve kodlanır.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Yağsız ölçümler: izlenen numuneler fotoğraflanır, tartılır ve kalınlıkları ölçülür; çiftlerde yalıtım direnci ve PDIV ölçülür.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BDV referansı: ayrı 5 düz numunede delinme gerilimi ölçülür.</w:t>
      </w:r>
    </w:p>
    <w:p>
      <w:pPr>
        <w:pStyle w:val="Heading2"/>
      </w:pPr>
      <w:r>
        <w:t xml:space="preserve">Aşama 2 — Yağlı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Yaşlandırma: izlenen numunelerin yarısı kapalı kapta e-yağa (YK), yarısı hava fırınına (HK) konur; ikisi de 150 °C'de 1000 h. BDV için ayrılan 5'er numune de aynı kollara girer. Taze yağın su içeriği ölçülür; YK kabına tanık şeritler konur.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Son ölçümler: kaplar oda sıcaklığına soğutulur; numuneler çıkarılır, yüzey yağı emici kâğıtla alınır ve numuneler 24 h kondisyonlanır. Aşama 1'deki ölçümler aynı sırayla tekrarlanır; her kolda 5 numunede BDV ölçülür. Yağın su içeriği ölçülür, tanık şeritler derecelendirilir.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Değerlendirme: korunum, yağ etkisi ve 800/1200/1600 V hükmü (Bölüm 5).</w:t>
      </w:r>
    </w:p>
    <w:p>
      <w:pPr>
        <w:pStyle w:val="Heading1"/>
      </w:pPr>
      <w:r>
        <w:t xml:space="preserve">3. Testler ve nasıl yapılır</w:t>
      </w:r>
    </w:p>
    <w:p>
      <w:pPr>
        <w:keepNext w:val="false"/>
      </w:pPr>
      <w:r>
        <w:rPr>
          <w:sz w:val="20"/>
          <w:szCs w:val="20"/>
        </w:rPr>
        <w:t xml:space="preserve">Ölçümler her seferinde aynı sırayla yapılır: fotoğraf, kütle ve kalınlık, yalıtım direnci, PDIV. BDV ayrı numunelerde yapılır. Her kayıtta numune kodu, aşama, tarih, sıcaklık ve bağıl nem bulunur.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8"/>
        <w:gridCol w:w="4725"/>
        <w:gridCol w:w="1657"/>
        <w:gridCol w:w="1308"/>
      </w:tblGrid>
      <w:tr>
        <w:trPr>
          <w:cantSplit/>
          <w:tblHeader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Test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Yöntem / standart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Numune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Sonuç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Fotoğraf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Renk kartlı fotoğraf; ΔE istenirse ASTM D2244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Düz, açık uçlu, tanık şerit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Görsel bulgular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Kütle, kalınlık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IEC 60851-2; 0,1 mg terazi, mikrometre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Düz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Değişim (%)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Yalıtım direnci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IEC 60034-27-4 yaklaşımı; 500 V DC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Çift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R60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PDIV / PDEV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IEC 60270 ölçüm sistemi; 50 Hz AC, 10 pC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Çift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Vrms ve Vpp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Delinme gerilimi (BDV)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IEC 60851-5; 50 Hz AC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Düz, tahribatlı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kV rms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Yağın su içeriği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Karl Fischer (IEC 60814 / ASTM D6304)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Yağ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ppm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Tanık şerit</w:t>
            </w:r>
          </w:p>
        </w:tc>
        <w:tc>
          <w:tcPr>
            <w:tcW w:type="dxa" w:w="4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ASTM D130 kararma ölçeği</w:t>
            </w:r>
          </w:p>
        </w:tc>
        <w:tc>
          <w:tcPr>
            <w:tcW w:type="dxa" w:w="1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Bakır şerit</w:t>
            </w:r>
          </w:p>
        </w:tc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Sınıf (1a–4c)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3.1 Fotoğraf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Kamera sabit bir standa takılır; mesafe, lens, odak ve ışık her çekimde aynıdır. Işık dağınık ve gün ışığı renginde olur; flaş kullanılmaz.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Her karede renk kartı ve cetvel bulunur; görüntü RAW olarak kaydedilir.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Her numunede aynı iki bölge çekilir: düz bölümün ortası ve kesik uç. Açık uçlu numunede soyulmuş bakır da çekilir.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Görülen değişim not edilir: renk, çatlak, kabarma, bant açılması, kesik uçta yeşil veya siyah ürün.</w:t>
      </w:r>
    </w:p>
    <w:p>
      <w:pPr>
        <w:pStyle w:val="Heading2"/>
      </w:pPr>
      <w:r>
        <w:t xml:space="preserve">3.2 Kütle ve kalınlık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Yalıtımlı kalınlık ve genişlik, numunede işaretli 5 noktada mikrometreyle (0,001 mm) ölçülür; sonda aynı noktalar ölçülür.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Numune 0,1 mg hassasiyetli terazide tartılır.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Sonuç yüzde değişim olarak verilir. Kütle artışı çoğunlukla yağ emilimini, azalma malzeme kaybını gösterir.</w:t>
      </w:r>
    </w:p>
    <w:p>
      <w:pPr>
        <w:pStyle w:val="Heading2"/>
      </w:pPr>
      <w:r>
        <w:t xml:space="preserve">3.3 Yalıtım direnci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Çiftin bir iletkeni megohmmetrenin yüksek gerilim ucuna, diğeri dönüş ucuna bağlanır.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500 V DC uygulanır ve 60 s sonundaki değer (R60) okunur. Ölçümden sonra numune deşarj edilir.</w:t>
      </w:r>
    </w:p>
    <w:p>
      <w:pPr>
        <w:pStyle w:val="Heading2"/>
      </w:pPr>
      <w:r>
        <w:t xml:space="preserve">3.4 PDIV ve PDEV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Kısmi deşarj ölçüm sistemi her oturumun başında yük kalibratörüyle kalibre edilir. Arka plan gürültüsü 5 pC'nin altında olmalıdır.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50 Hz AC gerilim çiftin iki iletkeni arasına uygulanır ve sıfırdan yaklaşık 50 V/s hızla artırılır.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Kısmi deşarj 10 pC'yi aştığında gerilim PDIV olarak okunur. Ardından gerilim aynı hızla düşürülür; deşarj 10 pC'nin altına indiğinde gerilim PDEV olarak okunur.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Gerilim en çok 3,5 kV rms'ye (≈9,9 kVpp) çıkarılır; bu, en yüksek hedefi (1600 V, P/P) kapsar. Bu değere kadar deşarj yoksa sonuç "&gt; 3,5 kV rms" olarak yazılır.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Her çiftte 60 s arayla 3 okuma yapılır; ortalama ve en düşük değer kaydedilir. Değerler Vrms ve Vpp (= Vrms × 2√2) olarak raporlanır.</w:t>
      </w:r>
    </w:p>
    <w:p>
      <w:pPr>
        <w:pStyle w:val="Heading2"/>
      </w:pPr>
      <w:r>
        <w:t xml:space="preserve">3.5 Delinme gerilimi (BDV)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Tahribatlı testtir; ölçülen numune yeniden kullanılmaz.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Düz numune IEC 60851-5'teki dikdörtgen tel düzeniyle test edilir: numune metal bilye içine gömülür ya da orta bölümü metal folyoyla sarılır. Uçlar elektrodun dışında kalır.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50 Hz AC gerilim iletken ile bilye veya folyo arasına uygulanır ve standarttaki hızla (ör. 500 V/s) delinmeye kadar artırılır.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Her ölçüm noktasında 5 numune ölçülür; ortalama, en düşük değer ve delinme yeri kaydedilir.</w:t>
      </w:r>
    </w:p>
    <w:p>
      <w:pPr>
        <w:pStyle w:val="Heading2"/>
      </w:pPr>
      <w:r>
        <w:t xml:space="preserve">3.6 Yağ ve tanık şerit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Yağın su içeriği Karl Fischer yöntemiyle ölçülür: taze yağda ve 1000 h sonunda YK kabından. Örnek, kap soğuyunca kuru ve kapalı bir şişeye alınır.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Ayrıca 100 mL yağ örneği koyu cam şişede saklanır; gerekirse sonra asitlik veya metal analizi yaptırılır.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Tanık şeritler kükürtsüz bir çözücüyle (ör. izooktan) yıkanır, kurutulur ve ASTM D130 kararma ölçeğiyle karşılaştırılır. Yağdaki ve yağ üstündeki şerit ayrı derecelendirilir ve fotoğraflanır.</w:t>
      </w:r>
    </w:p>
    <w:p>
      <w:pPr>
        <w:pStyle w:val="Heading1"/>
      </w:pPr>
      <w:r>
        <w:t xml:space="preserve">4. Yaşlandırma koşulları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6536"/>
        <w:gridCol w:w="1261"/>
        <w:gridCol w:w="1141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Kol</w:t>
            </w:r>
          </w:p>
        </w:tc>
        <w:tc>
          <w:tcPr>
            <w:tcW w:type="dxa" w:w="6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Ortam</w:t>
            </w:r>
          </w:p>
        </w:tc>
        <w:tc>
          <w:tcPr>
            <w:tcW w:type="dxa" w:w="1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Sıcaklık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Süre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YK</w:t>
            </w:r>
          </w:p>
        </w:tc>
        <w:tc>
          <w:tcPr>
            <w:tcW w:type="dxa" w:w="6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E-yağa tam daldırma, kapalı paslanmaz çelik kap</w:t>
            </w:r>
          </w:p>
        </w:tc>
        <w:tc>
          <w:tcPr>
            <w:tcW w:type="dxa" w:w="1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150 °C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1000 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HK</w:t>
            </w:r>
          </w:p>
        </w:tc>
        <w:tc>
          <w:tcPr>
            <w:tcW w:type="dxa" w:w="6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Hava sirkülasyonlu fırın</w:t>
            </w:r>
          </w:p>
        </w:tc>
        <w:tc>
          <w:tcPr>
            <w:tcW w:type="dxa" w:w="1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150 °C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1000 h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1000 h, IEC 60851-4 Test 20'nin yağ dayanımı süresidir; 150 °C bu testin üst sınırıdır.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Her aile ayrı kapta yaşlanır; böylece bir yalıtımdan çıkan ürünler diğerini etkilemez. Tüm kaplarda aynı e-yağ partisi kullanılır.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Kap basınç tahliyelidir ve PTFE contalıdır. Yağ kabın %65–75'ini doldurur; numuneler kap hacminin en çok %5'ini kaplar.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Sıcaklık yağın parlama/yanma noktasının en az 20 K altında olmalı; değilse düşürülür.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Kap açılmadan önce oda sıcaklığına soğutulur; yaşlandırma boyunca yağ değiştirilmez.</w:t>
      </w:r>
    </w:p>
    <w:p>
      <w:pPr>
        <w:pStyle w:val="Heading1"/>
      </w:pPr>
      <w:r>
        <w:t xml:space="preserve">5. Değerlendirme</w:t>
      </w:r>
    </w:p>
    <w:p>
      <w:pPr>
        <w:keepNext w:val="false"/>
      </w:pPr>
      <w:r>
        <w:rPr>
          <w:sz w:val="20"/>
          <w:szCs w:val="20"/>
        </w:rPr>
        <w:t xml:space="preserve">Ana ölçüt korunumdur: son değer / yağsız değer, aynı numunede. Yağın etkisi, aynı süredeki YK korunumu ile HK korunumu arasındaki farktır.</w:t>
      </w:r>
    </w:p>
    <w:p>
      <w:pPr>
        <w:keepNext/>
      </w:pPr>
      <w:r>
        <w:rPr>
          <w:sz w:val="20"/>
          <w:szCs w:val="20"/>
        </w:rPr>
        <w:t xml:space="preserve">PDIV ayrıca DC bara sınıflarına göre değerlendirilir. Sırt sırta çift hem dönüş-dönüş (T/T) hem de sıfır aralıklı faz-faz (P/P) yolunu temsil eder. Hedefler oda sıcaklığı içindir (kVpp; iki seviyeli evirici, aşma faktörü 1,2–1,5; IEC 60034-18-41 yaklaşımı):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582"/>
        <w:gridCol w:w="1764"/>
        <w:gridCol w:w="1796"/>
        <w:gridCol w:w="1796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Yol</w:t>
            </w:r>
          </w:p>
        </w:tc>
        <w:tc>
          <w:tcPr>
            <w:tcW w:type="dxa" w:w="3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Numune durumu</w:t>
            </w:r>
          </w:p>
        </w:tc>
        <w:tc>
          <w:tcPr>
            <w:tcW w:type="dxa" w:w="1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800 V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1200 V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1600 V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T/T</w:t>
            </w:r>
          </w:p>
        </w:tc>
        <w:tc>
          <w:tcPr>
            <w:tcW w:type="dxa" w:w="3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Yağsız (Aşama 1)</w:t>
            </w:r>
          </w:p>
        </w:tc>
        <w:tc>
          <w:tcPr>
            <w:tcW w:type="dxa" w:w="1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1,31–1,64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1,97–2,46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2,62–3,28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T/T</w:t>
            </w:r>
          </w:p>
        </w:tc>
        <w:tc>
          <w:tcPr>
            <w:tcW w:type="dxa" w:w="3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Yaşlanmış (Aşama 2)</w:t>
            </w:r>
          </w:p>
        </w:tc>
        <w:tc>
          <w:tcPr>
            <w:tcW w:type="dxa" w:w="1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1,09–1,37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1,64–2,05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2,18–2,73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P/P</w:t>
            </w:r>
          </w:p>
        </w:tc>
        <w:tc>
          <w:tcPr>
            <w:tcW w:type="dxa" w:w="3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Yağsız (Aşama 1)</w:t>
            </w:r>
          </w:p>
        </w:tc>
        <w:tc>
          <w:tcPr>
            <w:tcW w:type="dxa" w:w="1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3,74–4,68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5,62–7,02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7,49–9,36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P/P</w:t>
            </w:r>
          </w:p>
        </w:tc>
        <w:tc>
          <w:tcPr>
            <w:tcW w:type="dxa" w:w="3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Yaşlanmış (Aşama 2)</w:t>
            </w:r>
          </w:p>
        </w:tc>
        <w:tc>
          <w:tcPr>
            <w:tcW w:type="dxa" w:w="1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3,12–3,90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4,68–5,85</w:t>
            </w:r>
          </w:p>
        </w:tc>
        <w:tc>
          <w:tcPr>
            <w:tcW w:type="dxa" w:w="1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6,24–7,80</w:t>
            </w:r>
          </w:p>
        </w:tc>
      </w:tr>
    </w:tbl>
    <w:p>
      <w:pPr>
        <w:spacing w:after="120" w:before="0"/>
      </w:pPr>
    </w:p>
    <w:p>
      <w:pPr>
        <w:keepNext/>
      </w:pPr>
      <w:r>
        <w:rPr>
          <w:sz w:val="20"/>
          <w:szCs w:val="20"/>
        </w:rPr>
        <w:t xml:space="preserve">Önerilen kabul ölçütleri: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PDIV korunumu en az %50.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 düşük PDIV değeri ilgili sınıfın hedefini karşılamalı.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BDV korunumu ve görsel bulgular (renk, çatlak, kabarma, kesik uçta korozyon) raporlanır.</w:t>
      </w:r>
    </w:p>
    <w:p>
      <w:pPr>
        <w:keepNext w:val="false"/>
      </w:pPr>
      <w:r>
        <w:rPr>
          <w:sz w:val="20"/>
          <w:szCs w:val="20"/>
        </w:rPr>
        <w:t xml:space="preserve">Sınırlama: PDIV yalnız oda sıcaklığında ve yağ silinmiş numunede ölçülür. Literatüre göre sıcak ve yağla ıslak yüzeyde PDIV daha düşük olabilir.</w:t>
      </w:r>
    </w:p>
    <w:p>
      <w:pPr>
        <w:pStyle w:val="Heading1"/>
      </w:pPr>
      <w:r>
        <w:t xml:space="preserve">6. Numune sayısı ve takvim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5"/>
        <w:gridCol w:w="752"/>
        <w:gridCol w:w="7111"/>
      </w:tblGrid>
      <w:tr>
        <w:trPr>
          <w:cantSplit/>
          <w:tblHeader/>
        </w:trPr>
        <w:tc>
          <w:tcPr>
            <w:tcW w:type="dxa" w:w="1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Set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Aile başına</w:t>
            </w:r>
          </w:p>
        </w:tc>
        <w:tc>
          <w:tcPr>
            <w:tcW w:type="dxa" w:w="71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İçerik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İzlenen (YK + HK)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26</w:t>
            </w:r>
          </w:p>
        </w:tc>
        <w:tc>
          <w:tcPr>
            <w:tcW w:type="dxa" w:w="71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Her kolda 10 düz numune (5 çift) ve 3 açık uçlu numune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BDV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type="dxa" w:w="71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Başta 5; sonda YK'da 5, HK'da 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Toplam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41</w:t>
            </w:r>
          </w:p>
        </w:tc>
        <w:tc>
          <w:tcPr>
            <w:tcW w:type="dxa" w:w="71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≈12 m; 4,35 × 2,10 kesitte ≈1 kg</w:t>
            </w:r>
          </w:p>
        </w:tc>
      </w:tr>
    </w:tbl>
    <w:p>
      <w:pPr>
        <w:spacing w:after="120" w:before="0"/>
      </w:pPr>
    </w:p>
    <w:p>
      <w:pPr>
        <w:keepNext w:val="false"/>
      </w:pPr>
      <w:r>
        <w:rPr>
          <w:sz w:val="20"/>
          <w:szCs w:val="20"/>
        </w:rPr>
        <w:t xml:space="preserve">Dört stok ailesi (K, KC, C, E) için toplam yaklaşık 165 numune gerekir. Aşama 1 yaklaşık 2 hafta, Aşama 2 ise 1000 h (yaklaşık 6 hafta) ve 1 haftalık son ölçümler sürer. Toplam süre yaklaşık 9–10 haftadır.</w:t>
      </w:r>
    </w:p>
    <w:p>
      <w:pPr>
        <w:pStyle w:val="Heading1"/>
      </w:pPr>
      <w:r>
        <w:t xml:space="preserve">7. Elenen testler</w:t>
      </w:r>
    </w:p>
    <w:p>
      <w:pPr>
        <w:keepNext w:val="false"/>
      </w:pPr>
      <w:r>
        <w:rPr>
          <w:sz w:val="20"/>
          <w:szCs w:val="20"/>
        </w:rPr>
        <w:t xml:space="preserve">Aşağıdaki testler temel plandan çıkarıldı; kaynak ve zaman olursa eklenebilir.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7"/>
        <w:gridCol w:w="4212"/>
        <w:gridCol w:w="2669"/>
      </w:tblGrid>
      <w:tr>
        <w:trPr>
          <w:cantSplit/>
          <w:tblHeader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Elenen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Neden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Gerekirse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Kapasitans, tan δ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Ek cihaz ister; PDIV ve yalıtım direnci temel değişimi gösterir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LCR ölçerle aynı çiftlerde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Darbe PDIV (RPDIV)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Özel darbe üreteci ister; iki iletkenli modelde AC PDIV, Vpp cinsinden yaklaşık eşdeğer kabul edilir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800 V doğrulaması için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150 °C'de PDIV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Yüksek gerilim geçişli fırın ister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Sınırlama olarak yazılır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Faz-toprak ve aralıklı faz-faz PDIV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Sırt sırta çift temel ihtiyacı karşılar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Topraklı plakayla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Islak yağ ve buhar fazı kolları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Ek kap ve numune ister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Tanık şerit buhar fazını kısmen izler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Ara ölçüm (500 h) ve 2000 h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Süreyi uzatır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1000 h sonrası devam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Kurutma sonrası tekrar ölçüm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Ek ölçüm turu ister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Emilimin geri dönüp dönmediğini görmek için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Yağ asitliği, özdirenç, metal analizi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Dış laboratuvar ister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Saklanan yağ örneğiyle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Büküm, yapışma, FTIR, SEM/EDS, kesit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Ek hazırlık ve dış hizmet ister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Yalnız görünür hasar varsa</w:t>
            </w:r>
          </w:p>
        </w:tc>
      </w:tr>
      <w:tr>
        <w:trPr>
          <w:cantSplit/>
        </w:trPr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b/>
                <w:bCs/>
                <w:sz w:val="16"/>
                <w:szCs w:val="16"/>
              </w:rPr>
              <w:t xml:space="preserve">Gerilim altında yaşlandırma ve korozyon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Kapsam dışı</w:t>
            </w:r>
          </w:p>
        </w:tc>
        <w:tc>
          <w:tcPr>
            <w:tcW w:type="dxa" w:w="2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keepNext w:val="false"/>
              <w:spacing w:after="0" w:before="0" w:line="240" w:lineRule="auto"/>
            </w:pPr>
            <w:r>
              <w:rPr>
                <w:sz w:val="16"/>
                <w:szCs w:val="16"/>
              </w:rPr>
              <w:t xml:space="preserve">Ayrı bir çalışmada</w:t>
            </w:r>
          </w:p>
        </w:tc>
      </w:tr>
    </w:tbl>
    <w:p>
      <w:pPr>
        <w:spacing w:after="120" w:before="0"/>
      </w:pPr>
    </w:p>
    <w:p>
      <w:pPr>
        <w:keepNext w:val="false"/>
      </w:pPr>
      <w:r>
        <w:rPr>
          <w:sz w:val="20"/>
          <w:szCs w:val="20"/>
        </w:rPr>
        <w:t xml:space="preserve">Açık kararlar: kullanılacak e-yağ ve parlama noktası, 150 °C'nin uygunluğu, kısmi deşarj ölçüm cihazına erişim ve FC ile B grubunun zamanlaması.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Sayfa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Sayfa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Hairpin Yalıtımları Temel Test Planı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DejaVu Sans" w:cs="DejaVu Sans" w:eastAsia="DejaVu Sans" w:hAnsi="DejaVu Sans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20" w:before="24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Calibri" w:cs="Calibri" w:eastAsia="Calibri" w:hAnsi="Calibri"/>
      <w:b/>
      <w:bCs/>
      <w:color w:val="2E5597"/>
      <w:sz w:val="22"/>
      <w:szCs w:val="22"/>
    </w:rPr>
  </w:style>
  <w:style w:type="paragraph" w:styleId="TOC1">
    <w:name w:val="toc 1"/>
    <w:basedOn w:val="Normal"/>
    <w:next w:val="Normal"/>
    <w:pPr>
      <w:spacing w:after="20" w:before="80"/>
    </w:pPr>
    <w:rPr>
      <w:b/>
      <w:bCs/>
      <w:color w:val="1F3864"/>
      <w:sz w:val="20"/>
      <w:szCs w:val="20"/>
    </w:rPr>
  </w:style>
  <w:style w:type="paragraph" w:styleId="TOC2">
    <w:name w:val="toc 2"/>
    <w:basedOn w:val="Normal"/>
    <w:next w:val="Normal"/>
    <w:pPr>
      <w:spacing w:after="0" w:before="0"/>
      <w:ind w:left="360"/>
    </w:pPr>
    <w:rPr>
      <w:color w:val="595959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1fe32fe05c8d3f196c789effa5835680789d2b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Hairpin Yalıtımları Temel Test Planı</dc:title>
  <dc:subject>Hairpin iletken yalıtımları için temel test planı</dc:subject>
  <dc:creator>Un-named</dc:creator>
  <dc:description>Hairpin iletken yalıtımlarının önce yağsız, sonra yağ içinde test edilmesi için kısa, temel test planı</dc:description>
  <cp:lastModifiedBy>Un-named</cp:lastModifiedBy>
  <cp:revision>1</cp:revision>
  <dcterms:created xsi:type="dcterms:W3CDTF">2026-10-20T09:14:46.239Z</dcterms:created>
  <dcterms:modified xsi:type="dcterms:W3CDTF">2026-10-20T09:14:46.252Z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