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Sopanen's group; bearing specialist</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 I. Petrov; J. Saari</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J. Nerg; A. Belahcen; J. Saari</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Saari; L. Aarniovuori</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including heat-pump and hydrogen and cryogenic compression and flywheel storage.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Contributors: J. Saari (industrial machines); A. Jaatinen-Värri and J. Tiainen (§2.2, specific speed and the aerodynamic optimum).</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Contributors: A. Belahcen (loss modelling, materials, manufacturing effects), I. Petrov (rotor losses), J. Saari (windage correlations for high-speed machines), with A. Jaatinen-Värri and J. Tiainen on the flow regimes, roughness and end effects of §9.8.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Contributors: J. Nerg lead (thermal networks, cooling architectures, transients), A. Belahcen (magnet temperature and demagnetisation margin), A. Jaatinen-Värri and J. Tiainen (§10.5 air-gap convection, from the same flow model as the windage of §9.8), J. Saari (the machine-side windage link).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Contributors: P. Peltoniemi leads the chapter and writes the converter sections, 11.1 and 11.3 to 11.7, with colleagues from the LUT power electronics group; L. Aarniovuori (harmonic losses and rotor heating, 11.2); M. Hinkkanen or O. Pyrhönen (control at low pulse ratios, 11.8 to 11.10).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J. Saari (the compressor case, 12.1), J. Ikäheimo (manufacture and tolerance control, 12.3, and qualification against the standards, 12.5, both written from a manufacturer's practice), L. Aarniovuori (test rig and loss segregation, 12.4), J. Tiainen (industrial perspective). New: measured case data, and photographs of built machines and rotors supplied by the industrial contributors, which no competing title has.</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Contributors: authors (Voltcar), an aerospace contributor to be invited for 13.2.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Chapters</w:t>
            </w:r>
          </w:p>
        </w:tc>
        <w:tc>
          <w:tcPr>
            <w:tcW w:type="dxa" w:w="2160"/>
          </w:tcPr>
          <w:p>
            <w:r>
              <w:rPr>
                <w:b/>
                <w:sz w:val="19"/>
              </w:rPr>
            </w:r>
            <w:r>
              <w:rPr>
                <w:b/>
                <w:sz w:val="19"/>
              </w:rPr>
              <w:t>Status</w:t>
            </w:r>
          </w:p>
        </w:tc>
      </w:tr>
      <w:tr>
        <w:tc>
          <w:tcPr>
            <w:tcW w:type="dxa" w:w="2160"/>
          </w:tcPr>
          <w:p>
            <w:r>
              <w:rPr>
                <w:sz w:val="19"/>
              </w:rPr>
            </w:r>
            <w:r>
              <w:rPr>
                <w:sz w:val="19"/>
              </w:rPr>
              <w:t>Jussi Sopanen and group</w:t>
            </w:r>
          </w:p>
        </w:tc>
        <w:tc>
          <w:tcPr>
            <w:tcW w:type="dxa" w:w="2160"/>
          </w:tcPr>
          <w:p>
            <w:r>
              <w:rPr>
                <w:sz w:val="19"/>
              </w:rPr>
            </w:r>
            <w:r>
              <w:rPr>
                <w:sz w:val="19"/>
              </w:rPr>
              <w:t>LUT, machine dynamics</w:t>
            </w:r>
          </w:p>
        </w:tc>
        <w:tc>
          <w:tcPr>
            <w:tcW w:type="dxa" w:w="2160"/>
          </w:tcPr>
          <w:p>
            <w:r>
              <w:rPr>
                <w:sz w:val="19"/>
              </w:rPr>
            </w:r>
            <w:r>
              <w:rPr>
                <w:sz w:val="19"/>
              </w:rPr>
              <w:t>4, 5, 6</w:t>
            </w:r>
          </w:p>
        </w:tc>
        <w:tc>
          <w:tcPr>
            <w:tcW w:type="dxa" w:w="2160"/>
          </w:tcPr>
          <w:p>
            <w:r>
              <w:rPr>
                <w:sz w:val="19"/>
              </w:rPr>
            </w:r>
            <w:r>
              <w:rPr>
                <w:sz w:val="19"/>
              </w:rPr>
              <w:t>agreed in principle</w:t>
            </w:r>
          </w:p>
        </w:tc>
      </w:tr>
      <w:tr>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9 lead; 8.6, 5.7 and 10.8 supporting</w:t>
            </w:r>
          </w:p>
        </w:tc>
        <w:tc>
          <w:tcPr>
            <w:tcW w:type="dxa" w:w="2160"/>
          </w:tcPr>
          <w:p>
            <w:r>
              <w:rPr>
                <w:sz w:val="19"/>
              </w:rPr>
            </w:r>
            <w:r>
              <w:rPr>
                <w:sz w:val="19"/>
              </w:rPr>
              <w:t>expected</w:t>
            </w:r>
          </w:p>
        </w:tc>
      </w:tr>
      <w:tr>
        <w:tc>
          <w:tcPr>
            <w:tcW w:type="dxa" w:w="2160"/>
          </w:tcPr>
          <w:p>
            <w:r>
              <w:rPr>
                <w:sz w:val="19"/>
              </w:rPr>
            </w:r>
            <w:r>
              <w:rPr>
                <w:sz w:val="19"/>
              </w:rPr>
              <w:t>Juha Saari</w:t>
            </w:r>
          </w:p>
        </w:tc>
        <w:tc>
          <w:tcPr>
            <w:tcW w:type="dxa" w:w="2160"/>
          </w:tcPr>
          <w:p>
            <w:r>
              <w:rPr>
                <w:sz w:val="19"/>
              </w:rPr>
            </w:r>
            <w:r>
              <w:rPr>
                <w:sz w:val="19"/>
              </w:rPr>
              <w:t>industry</w:t>
            </w:r>
          </w:p>
        </w:tc>
        <w:tc>
          <w:tcPr>
            <w:tcW w:type="dxa" w:w="2160"/>
          </w:tcPr>
          <w:p>
            <w:r>
              <w:rPr>
                <w:sz w:val="19"/>
              </w:rPr>
            </w:r>
            <w:r>
              <w:rPr>
                <w:sz w:val="19"/>
              </w:rPr>
              <w:t>2, 9.8, 12.1</w:t>
            </w:r>
          </w:p>
        </w:tc>
        <w:tc>
          <w:tcPr>
            <w:tcW w:type="dxa" w:w="2160"/>
          </w:tcPr>
          <w:p>
            <w:r>
              <w:rPr>
                <w:sz w:val="19"/>
              </w:rPr>
            </w:r>
            <w:r>
              <w:rPr>
                <w:sz w:val="19"/>
              </w:rPr>
              <w:t>to be invited</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3.2 and 3.3, 12.3, 12.5; photographs and machine material throughout</w:t>
            </w:r>
          </w:p>
        </w:tc>
        <w:tc>
          <w:tcPr>
            <w:tcW w:type="dxa" w:w="2160"/>
          </w:tcPr>
          <w:p>
            <w:r>
              <w:rPr>
                <w:sz w:val="19"/>
              </w:rPr>
            </w:r>
            <w:r>
              <w:rPr>
                <w:sz w:val="19"/>
              </w:rPr>
              <w:t>agreed in principle</w:t>
            </w:r>
          </w:p>
        </w:tc>
      </w:tr>
      <w:tr>
        <w:tc>
          <w:tcPr>
            <w:tcW w:type="dxa" w:w="2160"/>
          </w:tcPr>
          <w:p>
            <w:r>
              <w:rPr>
                <w:sz w:val="19"/>
              </w:rPr>
            </w:r>
            <w:r>
              <w:rPr>
                <w:sz w:val="19"/>
              </w:rPr>
              <w:t>Ahti Jaatinen-Värri</w:t>
            </w:r>
          </w:p>
        </w:tc>
        <w:tc>
          <w:tcPr>
            <w:tcW w:type="dxa" w:w="2160"/>
          </w:tcPr>
          <w:p>
            <w:r>
              <w:rPr>
                <w:sz w:val="19"/>
              </w:rPr>
            </w:r>
            <w:r>
              <w:rPr>
                <w:sz w:val="19"/>
              </w:rPr>
              <w:t>LUT, turbomachinery</w:t>
            </w:r>
          </w:p>
        </w:tc>
        <w:tc>
          <w:tcPr>
            <w:tcW w:type="dxa" w:w="2160"/>
          </w:tcPr>
          <w:p>
            <w:r>
              <w:rPr>
                <w:sz w:val="19"/>
              </w:rPr>
            </w:r>
            <w:r>
              <w:rPr>
                <w:sz w:val="19"/>
              </w:rPr>
              <w:t>2.2, 9.8, 10.5</w:t>
            </w:r>
          </w:p>
        </w:tc>
        <w:tc>
          <w:tcPr>
            <w:tcW w:type="dxa" w:w="2160"/>
          </w:tcPr>
          <w:p>
            <w:r>
              <w:rPr>
                <w:sz w:val="19"/>
              </w:rPr>
            </w:r>
            <w:r>
              <w:rPr>
                <w:sz w:val="19"/>
              </w:rPr>
              <w:t>to be invited</w:t>
            </w:r>
          </w:p>
        </w:tc>
      </w:tr>
      <w:tr>
        <w:tc>
          <w:tcPr>
            <w:tcW w:type="dxa" w:w="2160"/>
          </w:tcPr>
          <w:p>
            <w:r>
              <w:rPr>
                <w:sz w:val="19"/>
              </w:rPr>
            </w:r>
            <w:r>
              <w:rPr>
                <w:sz w:val="19"/>
              </w:rPr>
              <w:t>Jonna Tiainen</w:t>
            </w:r>
          </w:p>
        </w:tc>
        <w:tc>
          <w:tcPr>
            <w:tcW w:type="dxa" w:w="2160"/>
          </w:tcPr>
          <w:p>
            <w:r>
              <w:rPr>
                <w:sz w:val="19"/>
              </w:rPr>
            </w:r>
            <w:r>
              <w:rPr>
                <w:sz w:val="19"/>
              </w:rPr>
              <w:t>The Switch</w:t>
            </w:r>
          </w:p>
        </w:tc>
        <w:tc>
          <w:tcPr>
            <w:tcW w:type="dxa" w:w="2160"/>
          </w:tcPr>
          <w:p>
            <w:r>
              <w:rPr>
                <w:sz w:val="19"/>
              </w:rPr>
            </w:r>
            <w:r>
              <w:rPr>
                <w:sz w:val="19"/>
              </w:rPr>
              <w:t>2.2, 9.8, 10.5, 12</w:t>
            </w:r>
          </w:p>
        </w:tc>
        <w:tc>
          <w:tcPr>
            <w:tcW w:type="dxa" w:w="2160"/>
          </w:tcPr>
          <w:p>
            <w:r>
              <w:rPr>
                <w:sz w:val="19"/>
              </w:rPr>
            </w:r>
            <w:r>
              <w:rPr>
                <w:sz w:val="19"/>
              </w:rPr>
              <w:t>to be invited</w:t>
            </w:r>
          </w:p>
        </w:tc>
      </w:tr>
      <w:tr>
        <w:tc>
          <w:tcPr>
            <w:tcW w:type="dxa" w:w="2160"/>
          </w:tcPr>
          <w:p>
            <w:r>
              <w:rPr>
                <w:sz w:val="19"/>
              </w:rPr>
            </w:r>
            <w:r>
              <w:rPr>
                <w:sz w:val="19"/>
              </w:rPr>
              <w:t>Janne Nerg</w:t>
            </w:r>
          </w:p>
        </w:tc>
        <w:tc>
          <w:tcPr>
            <w:tcW w:type="dxa" w:w="2160"/>
          </w:tcPr>
          <w:p>
            <w:r>
              <w:rPr>
                <w:sz w:val="19"/>
              </w:rPr>
            </w:r>
            <w:r>
              <w:rPr>
                <w:sz w:val="19"/>
              </w:rPr>
              <w:t>LUT, thermal modelling</w:t>
            </w:r>
          </w:p>
        </w:tc>
        <w:tc>
          <w:tcPr>
            <w:tcW w:type="dxa" w:w="2160"/>
          </w:tcPr>
          <w:p>
            <w:r>
              <w:rPr>
                <w:sz w:val="19"/>
              </w:rPr>
            </w:r>
            <w:r>
              <w:rPr>
                <w:sz w:val="19"/>
              </w:rPr>
              <w:t>10 lead</w:t>
            </w:r>
          </w:p>
        </w:tc>
        <w:tc>
          <w:tcPr>
            <w:tcW w:type="dxa" w:w="2160"/>
          </w:tcPr>
          <w:p>
            <w:r>
              <w:rPr>
                <w:sz w:val="19"/>
              </w:rPr>
            </w:r>
            <w:r>
              <w:rPr>
                <w:sz w:val="19"/>
              </w:rPr>
              <w:t>to be invited</w:t>
            </w:r>
          </w:p>
        </w:tc>
      </w:tr>
      <w:tr>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11 lead</w:t>
            </w:r>
          </w:p>
        </w:tc>
        <w:tc>
          <w:tcPr>
            <w:tcW w:type="dxa" w:w="2160"/>
          </w:tcPr>
          <w:p>
            <w:r>
              <w:rPr>
                <w:sz w:val="19"/>
              </w:rPr>
            </w:r>
            <w:r>
              <w:rPr>
                <w:sz w:val="19"/>
              </w:rPr>
              <w:t>agreed in principle</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11, 12</w:t>
            </w:r>
          </w:p>
        </w:tc>
        <w:tc>
          <w:tcPr>
            <w:tcW w:type="dxa" w:w="2160"/>
          </w:tcPr>
          <w:p>
            <w:r>
              <w:rPr>
                <w:sz w:val="19"/>
              </w:rPr>
            </w:r>
            <w:r>
              <w:rPr>
                <w:sz w:val="19"/>
              </w:rPr>
              <w:t>to be invited</w:t>
            </w:r>
          </w:p>
        </w:tc>
      </w:tr>
      <w:tr>
        <w:tc>
          <w:tcPr>
            <w:tcW w:type="dxa" w:w="2160"/>
          </w:tcPr>
          <w:p>
            <w:r>
              <w:rPr>
                <w:sz w:val="19"/>
              </w:rPr>
            </w:r>
            <w:r>
              <w:rPr>
                <w:sz w:val="19"/>
              </w:rPr>
              <w:t>bearing application specialist</w:t>
            </w:r>
          </w:p>
        </w:tc>
        <w:tc>
          <w:tcPr>
            <w:tcW w:type="dxa" w:w="2160"/>
          </w:tcPr>
          <w:p>
            <w:r>
              <w:rPr>
                <w:sz w:val="19"/>
              </w:rPr>
            </w:r>
            <w:r>
              <w:rPr>
                <w:sz w:val="19"/>
              </w:rPr>
              <w:t>industry, through J. Sopanen's network</w:t>
            </w:r>
          </w:p>
        </w:tc>
        <w:tc>
          <w:tcPr>
            <w:tcW w:type="dxa" w:w="2160"/>
          </w:tcPr>
          <w:p>
            <w:r>
              <w:rPr>
                <w:sz w:val="19"/>
              </w:rPr>
            </w:r>
            <w:r>
              <w:rPr>
                <w:sz w:val="19"/>
              </w:rPr>
              <w:t>6</w:t>
            </w:r>
          </w:p>
        </w:tc>
        <w:tc>
          <w:tcPr>
            <w:tcW w:type="dxa" w:w="2160"/>
          </w:tcPr>
          <w:p>
            <w:r>
              <w:rPr>
                <w:sz w:val="19"/>
              </w:rPr>
            </w:r>
            <w:r>
              <w:rPr>
                <w:sz w:val="19"/>
              </w:rPr>
              <w:t>to be named</w:t>
            </w:r>
          </w:p>
        </w:tc>
      </w:tr>
      <w:tr>
        <w:tc>
          <w:tcPr>
            <w:tcW w:type="dxa" w:w="2160"/>
          </w:tcPr>
          <w:p>
            <w:r>
              <w:rPr>
                <w:sz w:val="19"/>
              </w:rPr>
            </w:r>
            <w:r>
              <w:rPr>
                <w:sz w:val="19"/>
              </w:rPr>
              <w:t>Marko Hinkkanen or Olli Pyrhönen</w:t>
            </w:r>
          </w:p>
        </w:tc>
        <w:tc>
          <w:tcPr>
            <w:tcW w:type="dxa" w:w="2160"/>
          </w:tcPr>
          <w:p>
            <w:r>
              <w:rPr>
                <w:sz w:val="19"/>
              </w:rPr>
            </w:r>
            <w:r>
              <w:rPr>
                <w:sz w:val="19"/>
              </w:rPr>
              <w:t>Aalto / LUT, control</w:t>
            </w:r>
          </w:p>
        </w:tc>
        <w:tc>
          <w:tcPr>
            <w:tcW w:type="dxa" w:w="2160"/>
          </w:tcPr>
          <w:p>
            <w:r>
              <w:rPr>
                <w:sz w:val="19"/>
              </w:rPr>
            </w:r>
            <w:r>
              <w:rPr>
                <w:sz w:val="19"/>
              </w:rPr>
              <w:t>11</w:t>
            </w:r>
          </w:p>
        </w:tc>
        <w:tc>
          <w:tcPr>
            <w:tcW w:type="dxa" w:w="2160"/>
          </w:tcPr>
          <w:p>
            <w:r>
              <w:rPr>
                <w:sz w:val="19"/>
              </w:rPr>
            </w:r>
            <w:r>
              <w:rPr>
                <w:sz w:val="19"/>
              </w:rPr>
              <w:t>suggested, one of the two</w:t>
            </w:r>
          </w:p>
        </w:tc>
      </w:tr>
      <w:tr>
        <w:tc>
          <w:tcPr>
            <w:tcW w:type="dxa" w:w="2160"/>
          </w:tcPr>
          <w:p>
            <w:r>
              <w:rPr>
                <w:sz w:val="19"/>
              </w:rPr>
            </w:r>
            <w:r>
              <w:rPr>
                <w:sz w:val="19"/>
              </w:rPr>
              <w:t>aerospace contributor</w:t>
            </w:r>
          </w:p>
        </w:tc>
        <w:tc>
          <w:tcPr>
            <w:tcW w:type="dxa" w:w="2160"/>
          </w:tcPr>
          <w:p>
            <w:r>
              <w:rPr>
                <w:sz w:val="19"/>
              </w:rPr>
            </w:r>
            <w:r>
              <w:rPr>
                <w:sz w:val="19"/>
              </w:rPr>
              <w:t>to be identified</w:t>
            </w:r>
          </w:p>
        </w:tc>
        <w:tc>
          <w:tcPr>
            <w:tcW w:type="dxa" w:w="2160"/>
          </w:tcPr>
          <w:p>
            <w:r>
              <w:rPr>
                <w:sz w:val="19"/>
              </w:rPr>
            </w:r>
            <w:r>
              <w:rPr>
                <w:sz w:val="19"/>
              </w:rPr>
              <w:t>13.2</w:t>
            </w:r>
          </w:p>
        </w:tc>
        <w:tc>
          <w:tcPr>
            <w:tcW w:type="dxa" w:w="2160"/>
          </w:tcPr>
          <w:p>
            <w:r>
              <w:rPr>
                <w:sz w:val="19"/>
              </w:rPr>
            </w:r>
            <w:r>
              <w:rPr>
                <w:sz w:val="19"/>
              </w:rPr>
              <w:t>open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