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Attach to every one:</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industrial applications, windage, compressor case</w:t>
      </w:r>
    </w:p>
    <w:p>
      <w:pPr>
        <w:jc w:val="both"/>
      </w:pPr>
      <w:r>
        <w:t>Hello Juha,</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industrial side, in three places. One chapter covers the applications, the gearless compressors, blowers and ORC units, and the reasons the gearbox disappeared from them. Two later chapters need the windage and the air-gap flow, where we would much rather have your correlations presented by their author than cited by us. And one of the case-study chapters is built on a gearless compressor drive carried from specification to measured performance. You could write these yourself or with colleagues, and everyone who contributes is named at the head of the chapter. Once the publisher has approved the proposal, we will send you the detailed structure.</w:t>
      </w:r>
    </w:p>
    <w:p>
      <w:pPr>
        <w:jc w:val="both"/>
      </w:pPr>
      <w:r>
        <w:t>One question we should settle early. The compressor case rests on measured data, and that machine runs through the whole book. Could you find out what [company] would allow us to publish? If the data cannot be released, we would rather choose a different machine now than late.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the industrial case-study chapter,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and we would like you to lead it. The thermal problem turns around at high speed: the losses concentrate while the surface that has to reject them shrinks, and the rotor, which is the easy side in an ordinary machine, sits behind a retaining sleeve that the mechanical design requires and that also insulates it. The chapter would cover the heat paths, the stator and rotor cooling architectures, thermal networks and transient behaviour, and the magnet temperature that usually turns out to be the binding constraint. You could write it yourself or with colleagues, and everyone who contributes is named at the head of the chapter. Once the publisher has approved the proposal, we will send you the detailed structure and show how the chapter fits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measurement side, in two sections. One is the harmonic losses that a converter deposits in a rotor which the air gap and the retaining sleeve keep thermally isolated, which is why supply harmonics matter more at high speed than at mains frequency. The other is the test rig, the instrumentation and the loss segregation of a high-speed machine, where the electrical methods run out and calorimetry has to take over; we would like that written in enough detail that a reader can repeat it.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