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House style for figures, tables and captions</w:t>
      </w:r>
    </w:p>
    <w:p>
      <w:pPr>
        <w:jc w:val="both"/>
      </w:pPr>
      <w:r>
        <w:rPr>
          <w:i/>
        </w:rPr>
        <w:t>High-Speed Electrical Machines and Drives</w:t>
      </w:r>
      <w:r>
        <w:t xml:space="preserve"> — rules for every chapter</w:t>
      </w:r>
    </w:p>
    <w:p>
      <w:pPr>
        <w:jc w:val="both"/>
      </w:pPr>
      <w:r>
        <w:t xml:space="preserve">Every figure, graph and table in the book looks the same, whoever drew it. The rules are short, and most of them are enforced by two small tools, so nobody has to remember them: </w:t>
      </w:r>
      <w:r>
        <w:rPr>
          <w:rFonts w:ascii="Courier New" w:hAnsi="Courier New"/>
          <w:sz w:val="20"/>
        </w:rPr>
        <w:t>hsbook_style.py</w:t>
      </w:r>
      <w:r>
        <w:t xml:space="preserve"> for Python and </w:t>
      </w:r>
      <w:r>
        <w:rPr>
          <w:rFonts w:ascii="Courier New" w:hAnsi="Courier New"/>
          <w:sz w:val="20"/>
        </w:rPr>
        <w:t>hsbook_style.m</w:t>
      </w:r>
      <w:r>
        <w:t xml:space="preserve"> for MATLAB. Chapter 1 has been brought into this style and is the reference example.</w:t>
      </w:r>
    </w:p>
    <w:p>
      <w:pPr>
        <w:pStyle w:val="Heading1"/>
      </w:pPr>
      <w:r>
        <w:t>1. The one rule that makes the rest work</w:t>
      </w:r>
    </w:p>
    <w:p>
      <w:pPr>
        <w:jc w:val="both"/>
      </w:pPr>
      <w:r>
        <w:rPr>
          <w:b/>
        </w:rPr>
        <w:t>Every figure is made at the full text width, 15.92 cm, and inserted into the manuscript at 100 %.</w:t>
      </w:r>
      <w:r>
        <w:t xml:space="preserve"> Never scale a figure in Word and never crop it there.</w:t>
      </w:r>
    </w:p>
    <w:p>
      <w:pPr>
        <w:jc w:val="both"/>
      </w:pPr>
      <w:r>
        <w:t>Text in a figure only prints at the size it was drawn if the figure is placed at the width it was drawn at. Before this style, the same 9 pt label in Chapter 1 printed anywhere from 7 to 12 pt for exactly this reason. Only the height varies from figure to figure.</w:t>
      </w:r>
    </w:p>
    <w:p>
      <w:pPr>
        <w:jc w:val="both"/>
      </w:pPr>
      <w:r>
        <w:t>The publisher will rescale the book to its own trim size. Because every figure is built at the same width, they all scale together and stay identical to one another. When Wiley confirms the trim size, the width changes in one place in each tool and every figure is regenerated.</w:t>
      </w:r>
    </w:p>
    <w:p>
      <w:pPr>
        <w:pStyle w:val="Heading1"/>
      </w:pPr>
      <w:r>
        <w:t>2. Text in figures and tables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1062"/>
        <w:gridCol w:w="7964"/>
      </w:tblGrid>
      <w:tr>
        <w:trPr>
          <w:cantSplit/>
          <w:tblHeader/>
        </w:trPr>
        <w:tc>
          <w:tcPr>
            <w:tcW w:w="1062" w:type="dxa"/>
            <w:tcBorders>
              <w:bottom w:val="single" w:sz="4" w:space="0" w:color="000000"/>
            </w:tcBorders>
            <w:vAlign w:val="center"/>
          </w:tcPr>
          <w:p>
            <w:pPr>
              <w:spacing w:before="0" w:after="0" w:line="240" w:lineRule="auto"/>
              <w:jc w:val="left"/>
            </w:pPr>
          </w:p>
        </w:tc>
        <w:tc>
          <w:tcPr>
            <w:tcW w:w="796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Rule</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Font</w:t>
            </w:r>
          </w:p>
        </w:tc>
        <w:tc>
          <w:tcPr>
            <w:tcW w:w="7964" w:type="dxa"/>
            <w:vAlign w:val="center"/>
          </w:tcPr>
          <w:p>
            <w:pPr>
              <w:spacing w:before="0" w:after="0" w:line="240" w:lineRule="auto"/>
              <w:jc w:val="left"/>
            </w:pPr>
            <w:r>
              <w:rPr>
                <w:rFonts w:ascii="Times New Roman" w:hAnsi="Times New Roman" w:cs="Times New Roman"/>
                <w:sz w:val="22"/>
                <w:szCs w:val="22"/>
              </w:rPr>
              <w:t>Times New Roman, the font of the text. Liberation Serif or Nimbus Roman are acceptable stand-ins where Times New Roman is not installed; their letter widths are identical.</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Size</w:t>
            </w:r>
          </w:p>
        </w:tc>
        <w:tc>
          <w:tcPr>
            <w:tcW w:w="7964" w:type="dxa"/>
            <w:vAlign w:val="center"/>
          </w:tcPr>
          <w:p>
            <w:pPr>
              <w:spacing w:before="0" w:after="0" w:line="240" w:lineRule="auto"/>
              <w:jc w:val="left"/>
            </w:pPr>
            <w:r>
              <w:rPr>
                <w:rFonts w:ascii="Times New Roman" w:hAnsi="Times New Roman" w:cs="Times New Roman"/>
                <w:sz w:val="22"/>
                <w:szCs w:val="22"/>
              </w:rPr>
              <w:t>11 pt, the size of the text, for every piece of text: axis labels, tick numbers, legends, labels and panel titles. Sub- and superscripts follow automatically.</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Weight</w:t>
            </w:r>
          </w:p>
        </w:tc>
        <w:tc>
          <w:tcPr>
            <w:tcW w:w="7964" w:type="dxa"/>
            <w:vAlign w:val="center"/>
          </w:tcPr>
          <w:p>
            <w:pPr>
              <w:spacing w:before="0" w:after="0" w:line="240" w:lineRule="auto"/>
              <w:jc w:val="left"/>
            </w:pPr>
            <w:r>
              <w:rPr>
                <w:rFonts w:ascii="Times New Roman" w:hAnsi="Times New Roman" w:cs="Times New Roman"/>
                <w:sz w:val="22"/>
                <w:szCs w:val="22"/>
              </w:rPr>
              <w:t>Regular. In figures, nothing is bold. In tables, only the header row is bold.</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Italic</w:t>
            </w:r>
          </w:p>
        </w:tc>
        <w:tc>
          <w:tcPr>
            <w:tcW w:w="7964" w:type="dxa"/>
            <w:vAlign w:val="center"/>
          </w:tcPr>
          <w:p>
            <w:pPr>
              <w:spacing w:before="0" w:after="0" w:line="240" w:lineRule="auto"/>
              <w:jc w:val="left"/>
            </w:pPr>
            <w:r>
              <w:rPr>
                <w:rFonts w:ascii="Times New Roman" w:hAnsi="Times New Roman" w:cs="Times New Roman"/>
                <w:sz w:val="22"/>
                <w:szCs w:val="22"/>
              </w:rPr>
              <w:t>Quantity symbols only (</w:t>
            </w:r>
            <w:r>
              <w:rPr>
                <w:rFonts w:ascii="Times New Roman" w:hAnsi="Times New Roman" w:cs="Times New Roman"/>
                <w:i/>
                <w:sz w:val="22"/>
                <w:szCs w:val="22"/>
              </w:rPr>
              <w:t>n</w:t>
            </w:r>
            <w:r>
              <w:rPr>
                <w:rFonts w:ascii="Times New Roman" w:hAnsi="Times New Roman" w:cs="Times New Roman"/>
                <w:sz w:val="22"/>
                <w:szCs w:val="22"/>
              </w:rPr>
              <w:t xml:space="preserve">, </w:t>
            </w:r>
            <w:r>
              <w:rPr>
                <w:rFonts w:ascii="Times New Roman" w:hAnsi="Times New Roman" w:cs="Times New Roman"/>
                <w:i/>
                <w:sz w:val="22"/>
                <w:szCs w:val="22"/>
              </w:rPr>
              <w:t>P</w:t>
            </w:r>
            <w:r>
              <w:rPr>
                <w:rFonts w:ascii="Times New Roman" w:hAnsi="Times New Roman" w:cs="Times New Roman"/>
                <w:sz w:val="22"/>
                <w:szCs w:val="22"/>
              </w:rPr>
              <w:t xml:space="preserve">, </w:t>
            </w:r>
            <w:r>
              <w:rPr>
                <w:rFonts w:ascii="Times New Roman" w:hAnsi="Times New Roman" w:cs="Times New Roman"/>
                <w:i/>
                <w:sz w:val="22"/>
                <w:szCs w:val="22"/>
              </w:rPr>
              <w:t>f</w:t>
            </w:r>
            <w:r>
              <w:rPr>
                <w:rFonts w:ascii="Times New Roman" w:hAnsi="Times New Roman" w:cs="Times New Roman"/>
                <w:sz w:val="22"/>
                <w:szCs w:val="22"/>
                <w:vertAlign w:val="subscript"/>
              </w:rPr>
              <w:t>1</w:t>
            </w:r>
            <w:r>
              <w:rPr>
                <w:rFonts w:ascii="Times New Roman" w:hAnsi="Times New Roman" w:cs="Times New Roman"/>
                <w:sz w:val="22"/>
                <w:szCs w:val="22"/>
              </w:rPr>
              <w:t xml:space="preserve">, Ω), exactly as in the text. Units and descriptive subscripts are upright: </w:t>
            </w:r>
            <w:r>
              <w:rPr>
                <w:rFonts w:ascii="Times New Roman" w:hAnsi="Times New Roman" w:cs="Times New Roman"/>
                <w:i/>
                <w:sz w:val="22"/>
                <w:szCs w:val="22"/>
              </w:rPr>
              <w:t>v</w:t>
            </w:r>
            <w:r>
              <w:rPr>
                <w:rFonts w:ascii="Times New Roman" w:hAnsi="Times New Roman" w:cs="Times New Roman"/>
                <w:sz w:val="22"/>
                <w:szCs w:val="22"/>
                <w:vertAlign w:val="subscript"/>
              </w:rPr>
              <w:t>tip</w:t>
            </w:r>
            <w:r>
              <w:rPr>
                <w:rFonts w:ascii="Times New Roman" w:hAnsi="Times New Roman" w:cs="Times New Roman"/>
                <w:sz w:val="22"/>
                <w:szCs w:val="22"/>
              </w:rPr>
              <w:t xml:space="preserve">, </w:t>
            </w:r>
            <w:r>
              <w:rPr>
                <w:rFonts w:ascii="Times New Roman" w:hAnsi="Times New Roman" w:cs="Times New Roman"/>
                <w:i/>
                <w:sz w:val="22"/>
                <w:szCs w:val="22"/>
              </w:rPr>
              <w:t>P</w:t>
            </w:r>
            <w:r>
              <w:rPr>
                <w:rFonts w:ascii="Times New Roman" w:hAnsi="Times New Roman" w:cs="Times New Roman"/>
                <w:sz w:val="22"/>
                <w:szCs w:val="22"/>
                <w:vertAlign w:val="subscript"/>
              </w:rPr>
              <w:t>Fe</w:t>
            </w:r>
            <w:r>
              <w:rPr>
                <w:rFonts w:ascii="Times New Roman" w:hAnsi="Times New Roman" w:cs="Times New Roman"/>
                <w:sz w:val="22"/>
                <w:szCs w:val="22"/>
              </w:rPr>
              <w:t xml:space="preserve">, </w:t>
            </w:r>
            <w:r>
              <w:rPr>
                <w:rFonts w:ascii="Times New Roman" w:hAnsi="Times New Roman" w:cs="Times New Roman"/>
                <w:i/>
                <w:sz w:val="22"/>
                <w:szCs w:val="22"/>
              </w:rPr>
              <w:t>f</w:t>
            </w:r>
            <w:r>
              <w:rPr>
                <w:rFonts w:ascii="Times New Roman" w:hAnsi="Times New Roman" w:cs="Times New Roman"/>
                <w:sz w:val="22"/>
                <w:szCs w:val="22"/>
                <w:vertAlign w:val="subscript"/>
              </w:rPr>
              <w:t>sw</w:t>
            </w:r>
            <w:r>
              <w:rPr>
                <w:rFonts w:ascii="Times New Roman" w:hAnsi="Times New Roman" w:cs="Times New Roman"/>
                <w:sz w:val="22"/>
                <w:szCs w:val="22"/>
              </w:rPr>
              <w:t>.</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Case</w:t>
            </w:r>
          </w:p>
        </w:tc>
        <w:tc>
          <w:tcPr>
            <w:tcW w:w="7964" w:type="dxa"/>
            <w:vAlign w:val="center"/>
          </w:tcPr>
          <w:p>
            <w:pPr>
              <w:spacing w:before="0" w:after="0" w:line="240" w:lineRule="auto"/>
              <w:jc w:val="left"/>
            </w:pPr>
            <w:r>
              <w:rPr>
                <w:rFonts w:ascii="Times New Roman" w:hAnsi="Times New Roman" w:cs="Times New Roman"/>
                <w:sz w:val="22"/>
                <w:szCs w:val="22"/>
              </w:rPr>
              <w:t>Sentence case: "Rotational speed", not "Rotational Speed".</w:t>
            </w:r>
          </w:p>
        </w:tc>
      </w:tr>
    </w:tbl>
    <w:p>
      <w:pPr>
        <w:spacing w:after="40"/>
      </w:pPr>
    </w:p>
    <w:p>
      <w:pPr>
        <w:pStyle w:val="Heading1"/>
      </w:pPr>
      <w:r>
        <w:t>3. Graphs</w:t>
      </w:r>
    </w:p>
    <w:p>
      <w:pPr>
        <w:pStyle w:val="ListBullet"/>
      </w:pPr>
      <w:r>
        <w:rPr>
          <w:b/>
        </w:rPr>
        <w:t>No title inside the figure.</w:t>
      </w:r>
      <w:r>
        <w:t xml:space="preserve"> The caption is the title.</w:t>
      </w:r>
    </w:p>
    <w:p>
      <w:pPr>
        <w:pStyle w:val="ListBullet"/>
      </w:pPr>
      <w:r>
        <w:rPr>
          <w:b/>
        </w:rPr>
        <w:t>Frame and ticks</w:t>
      </w:r>
      <w:r>
        <w:t>: full box; ticks pointing inward on all four sides; a light grey grid behind the data.</w:t>
      </w:r>
    </w:p>
    <w:p>
      <w:pPr>
        <w:pStyle w:val="ListBullet"/>
      </w:pPr>
      <w:r>
        <w:rPr>
          <w:b/>
        </w:rPr>
        <w:t>Axis labels</w:t>
      </w:r>
      <w:r>
        <w:t xml:space="preserve"> take the form </w:t>
      </w:r>
      <w:r>
        <w:rPr>
          <w:i/>
        </w:rPr>
        <w:t>Name symbol (unit)</w:t>
      </w:r>
      <w:r>
        <w:t xml:space="preserve">: "Rotational speed </w:t>
      </w:r>
      <w:r>
        <w:rPr>
          <w:i/>
        </w:rPr>
        <w:t>n</w:t>
      </w:r>
      <w:r>
        <w:t xml:space="preserve"> (r/min)", "Loss (% of rated output)". A dimensionless quantity has no parentheses.</w:t>
      </w:r>
    </w:p>
    <w:p>
      <w:pPr>
        <w:pStyle w:val="ListBullet"/>
      </w:pPr>
      <w:r>
        <w:rPr>
          <w:b/>
        </w:rPr>
        <w:t>Numbers</w:t>
      </w:r>
      <w:r>
        <w:t>: decimal point; numbers of five or more digits grouped with a thin space (30 000, 100 000); four-digit numbers ungrouped (1500). Logarithmic axes carry plain numbers (0.1, 1, 10, 100 000), not powers of ten.</w:t>
      </w:r>
    </w:p>
    <w:p>
      <w:pPr>
        <w:pStyle w:val="ListBullet"/>
      </w:pPr>
      <w:r>
        <w:rPr>
          <w:b/>
        </w:rPr>
        <w:t>Units</w:t>
      </w:r>
      <w:r>
        <w:t>: SI throughout. Speed in r/min, never rpm. Factors are written with ×, not x: 4×, ×16.</w:t>
      </w:r>
    </w:p>
    <w:p>
      <w:pPr>
        <w:pStyle w:val="ListBullet"/>
      </w:pPr>
      <w:r>
        <w:rPr>
          <w:b/>
        </w:rPr>
        <w:t>Line weights</w:t>
      </w:r>
      <w:r>
        <w:t>: data curves 1.2 pt; axes and ticks 0.6 pt; grid 0.4 pt; reference and construction lines 0.5 pt.</w:t>
      </w:r>
    </w:p>
    <w:p>
      <w:pPr>
        <w:pStyle w:val="ListBullet"/>
      </w:pPr>
      <w:r>
        <w:rPr>
          <w:b/>
        </w:rPr>
        <w:t>Series</w:t>
      </w:r>
      <w:r>
        <w:t>: up to four per graph, each a fixed pairing of colour and line style, so they stay distinguishable in greyscale print. More than four series usually means two graphs.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90"/>
        <w:gridCol w:w="4046"/>
        <w:gridCol w:w="2490"/>
      </w:tblGrid>
      <w:tr>
        <w:trPr>
          <w:cantSplit/>
          <w:tblHeader/>
        </w:trPr>
        <w:tc>
          <w:tcPr>
            <w:tcW w:w="2490"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Series</w:t>
            </w:r>
          </w:p>
        </w:tc>
        <w:tc>
          <w:tcPr>
            <w:tcW w:w="404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Colour</w:t>
            </w:r>
          </w:p>
        </w:tc>
        <w:tc>
          <w:tcPr>
            <w:tcW w:w="2490"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Line</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1</w:t>
            </w:r>
          </w:p>
        </w:tc>
        <w:tc>
          <w:tcPr>
            <w:tcW w:w="4046" w:type="dxa"/>
            <w:vAlign w:val="center"/>
          </w:tcPr>
          <w:p>
            <w:pPr>
              <w:spacing w:before="0" w:after="0" w:line="240" w:lineRule="auto"/>
              <w:jc w:val="left"/>
            </w:pPr>
            <w:r>
              <w:rPr>
                <w:rFonts w:ascii="Times New Roman" w:hAnsi="Times New Roman" w:cs="Times New Roman"/>
                <w:sz w:val="22"/>
                <w:szCs w:val="22"/>
              </w:rPr>
              <w:t>blue #1f4e79</w:t>
            </w:r>
          </w:p>
        </w:tc>
        <w:tc>
          <w:tcPr>
            <w:tcW w:w="2490" w:type="dxa"/>
            <w:vAlign w:val="center"/>
          </w:tcPr>
          <w:p>
            <w:pPr>
              <w:spacing w:before="0" w:after="0" w:line="240" w:lineRule="auto"/>
              <w:jc w:val="left"/>
            </w:pPr>
            <w:r>
              <w:rPr>
                <w:rFonts w:ascii="Times New Roman" w:hAnsi="Times New Roman" w:cs="Times New Roman"/>
                <w:sz w:val="22"/>
                <w:szCs w:val="22"/>
              </w:rPr>
              <w:t>solid</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2</w:t>
            </w:r>
          </w:p>
        </w:tc>
        <w:tc>
          <w:tcPr>
            <w:tcW w:w="4046" w:type="dxa"/>
            <w:vAlign w:val="center"/>
          </w:tcPr>
          <w:p>
            <w:pPr>
              <w:spacing w:before="0" w:after="0" w:line="240" w:lineRule="auto"/>
              <w:jc w:val="left"/>
            </w:pPr>
            <w:r>
              <w:rPr>
                <w:rFonts w:ascii="Times New Roman" w:hAnsi="Times New Roman" w:cs="Times New Roman"/>
                <w:sz w:val="22"/>
                <w:szCs w:val="22"/>
              </w:rPr>
              <w:t>rust #a6350f</w:t>
            </w:r>
          </w:p>
        </w:tc>
        <w:tc>
          <w:tcPr>
            <w:tcW w:w="2490" w:type="dxa"/>
            <w:vAlign w:val="center"/>
          </w:tcPr>
          <w:p>
            <w:pPr>
              <w:spacing w:before="0" w:after="0" w:line="240" w:lineRule="auto"/>
              <w:jc w:val="left"/>
            </w:pPr>
            <w:r>
              <w:rPr>
                <w:rFonts w:ascii="Times New Roman" w:hAnsi="Times New Roman" w:cs="Times New Roman"/>
                <w:sz w:val="22"/>
                <w:szCs w:val="22"/>
              </w:rPr>
              <w:t>dashed</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3</w:t>
            </w:r>
          </w:p>
        </w:tc>
        <w:tc>
          <w:tcPr>
            <w:tcW w:w="4046" w:type="dxa"/>
            <w:vAlign w:val="center"/>
          </w:tcPr>
          <w:p>
            <w:pPr>
              <w:spacing w:before="0" w:after="0" w:line="240" w:lineRule="auto"/>
              <w:jc w:val="left"/>
            </w:pPr>
            <w:r>
              <w:rPr>
                <w:rFonts w:ascii="Times New Roman" w:hAnsi="Times New Roman" w:cs="Times New Roman"/>
                <w:sz w:val="22"/>
                <w:szCs w:val="22"/>
              </w:rPr>
              <w:t>green #4a7c1f</w:t>
            </w:r>
          </w:p>
        </w:tc>
        <w:tc>
          <w:tcPr>
            <w:tcW w:w="2490" w:type="dxa"/>
            <w:vAlign w:val="center"/>
          </w:tcPr>
          <w:p>
            <w:pPr>
              <w:spacing w:before="0" w:after="0" w:line="240" w:lineRule="auto"/>
              <w:jc w:val="left"/>
            </w:pPr>
            <w:r>
              <w:rPr>
                <w:rFonts w:ascii="Times New Roman" w:hAnsi="Times New Roman" w:cs="Times New Roman"/>
                <w:sz w:val="22"/>
                <w:szCs w:val="22"/>
              </w:rPr>
              <w:t>dash-dot</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4</w:t>
            </w:r>
          </w:p>
        </w:tc>
        <w:tc>
          <w:tcPr>
            <w:tcW w:w="4046" w:type="dxa"/>
            <w:vAlign w:val="center"/>
          </w:tcPr>
          <w:p>
            <w:pPr>
              <w:spacing w:before="0" w:after="0" w:line="240" w:lineRule="auto"/>
              <w:jc w:val="left"/>
            </w:pPr>
            <w:r>
              <w:rPr>
                <w:rFonts w:ascii="Times New Roman" w:hAnsi="Times New Roman" w:cs="Times New Roman"/>
                <w:sz w:val="22"/>
                <w:szCs w:val="22"/>
              </w:rPr>
              <w:t>ink #1a1a1a</w:t>
            </w:r>
          </w:p>
        </w:tc>
        <w:tc>
          <w:tcPr>
            <w:tcW w:w="2490" w:type="dxa"/>
            <w:vAlign w:val="center"/>
          </w:tcPr>
          <w:p>
            <w:pPr>
              <w:spacing w:before="0" w:after="0" w:line="240" w:lineRule="auto"/>
              <w:jc w:val="left"/>
            </w:pPr>
            <w:r>
              <w:rPr>
                <w:rFonts w:ascii="Times New Roman" w:hAnsi="Times New Roman" w:cs="Times New Roman"/>
                <w:sz w:val="22"/>
                <w:szCs w:val="22"/>
              </w:rPr>
              <w:t>dotted</w:t>
            </w:r>
          </w:p>
        </w:tc>
      </w:tr>
    </w:tbl>
    <w:p>
      <w:pPr>
        <w:spacing w:after="40"/>
      </w:pPr>
    </w:p>
    <w:p>
      <w:pPr>
        <w:pStyle w:val="ListBullet"/>
      </w:pPr>
      <w:r>
        <w:rPr>
          <w:b/>
        </w:rPr>
        <w:t>Labelling the series</w:t>
      </w:r>
      <w:r>
        <w:t>: label curves directly, in the curve's own colour, wherever there is room. Otherwise use a legend without a frame, placed in empty space inside the axes.</w:t>
      </w:r>
    </w:p>
    <w:p>
      <w:pPr>
        <w:pStyle w:val="ListBullet"/>
      </w:pPr>
      <w:r>
        <w:rPr>
          <w:b/>
        </w:rPr>
        <w:t>Marked points</w:t>
      </w:r>
      <w:r>
        <w:t>: an open circle, white fill and dark edge, joined to its label by a thin grey leader line.</w:t>
      </w:r>
    </w:p>
    <w:p>
      <w:pPr>
        <w:pStyle w:val="ListBullet"/>
      </w:pPr>
      <w:r>
        <w:rPr>
          <w:b/>
        </w:rPr>
        <w:t>Bar charts</w:t>
      </w:r>
      <w:r>
        <w:t xml:space="preserve"> add hatching to the colour (plain, ////, ....) for the same greyscale reason.</w:t>
      </w:r>
    </w:p>
    <w:p>
      <w:pPr>
        <w:pStyle w:val="ListBullet"/>
      </w:pPr>
      <w:r>
        <w:rPr>
          <w:b/>
        </w:rPr>
        <w:t>Panels</w:t>
      </w:r>
      <w:r>
        <w:t>: (a), (b) … with a short title, centred below each panel. The caption refers to them by letter.</w:t>
      </w:r>
    </w:p>
    <w:p>
      <w:pPr>
        <w:pStyle w:val="Heading1"/>
      </w:pPr>
      <w:r>
        <w:t>4. Illustrations</w:t>
      </w:r>
    </w:p>
    <w:p>
      <w:pPr>
        <w:pStyle w:val="ListBullet"/>
      </w:pPr>
      <w:r>
        <w:rPr>
          <w:b/>
        </w:rPr>
        <w:t>Two-dimensional engineering drawings only</w:t>
      </w:r>
      <w:r>
        <w:t>: an elevation or a section, drawn as a drafter would draw it. No perspective, no 3-D rendering, no shading gradients, no photorealism. No AI-generated imagery (see §8).</w:t>
      </w:r>
    </w:p>
    <w:p>
      <w:pPr>
        <w:pStyle w:val="ListBullet"/>
      </w:pPr>
      <w:r>
        <w:rPr>
          <w:b/>
        </w:rPr>
        <w:t>Line weights</w:t>
      </w:r>
      <w:r>
        <w:t>: part outlines 1.0 pt; leader, centre and dimension lines 0.5 pt; hatching 0.4 pt.</w:t>
      </w:r>
    </w:p>
    <w:p>
      <w:pPr>
        <w:pStyle w:val="ListBullet"/>
      </w:pPr>
      <w:r>
        <w:rPr>
          <w:b/>
        </w:rPr>
        <w:t>Sections</w:t>
      </w:r>
      <w:r>
        <w:t>: cut material is hatched at 45°. Adjacent parts are hatched in opposite directions, and cast or fabricated housings are cross-hatched. Surfaces seen in elevation are never hatched.</w:t>
      </w:r>
    </w:p>
    <w:p>
      <w:pPr>
        <w:pStyle w:val="ListBullet"/>
      </w:pPr>
      <w:r>
        <w:rPr>
          <w:b/>
        </w:rPr>
        <w:t>Centre lines</w:t>
      </w:r>
      <w:r>
        <w:t>: thin, grey, dash-dot.</w:t>
      </w:r>
    </w:p>
    <w:p>
      <w:pPr>
        <w:pStyle w:val="ListBullet"/>
      </w:pPr>
      <w:r>
        <w:rPr>
          <w:b/>
        </w:rPr>
        <w:t>Labels</w:t>
      </w:r>
      <w:r>
        <w:t xml:space="preserve">: horizontal, sentence case, 11 pt. Each label is joined to its part by a thin grey leader line </w:t>
      </w:r>
      <w:r>
        <w:rPr>
          <w:i/>
        </w:rPr>
        <w:t>without</w:t>
      </w:r>
      <w:r>
        <w:t xml:space="preserve"> an arrowhead. Arrows are kept for flow, motion and dimensions.</w:t>
      </w:r>
    </w:p>
    <w:p>
      <w:pPr>
        <w:pStyle w:val="ListBullet"/>
      </w:pPr>
      <w:r>
        <w:rPr>
          <w:b/>
        </w:rPr>
        <w:t>Fills</w:t>
      </w:r>
      <w:r>
        <w:t xml:space="preserve"> come from one material palette, light enough for labels and hatching to stay legible:</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707"/>
        <w:gridCol w:w="1289"/>
        <w:gridCol w:w="4030"/>
      </w:tblGrid>
      <w:tr>
        <w:trPr>
          <w:cantSplit/>
          <w:tblHeader/>
        </w:trPr>
        <w:tc>
          <w:tcPr>
            <w:tcW w:w="3707"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Material</w:t>
            </w:r>
          </w:p>
        </w:tc>
        <w:tc>
          <w:tcPr>
            <w:tcW w:w="1289"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Fill</w:t>
            </w:r>
          </w:p>
        </w:tc>
        <w:tc>
          <w:tcPr>
            <w:tcW w:w="4030"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Shown with</w:t>
            </w:r>
          </w:p>
        </w:tc>
      </w:tr>
      <w:tr>
        <w:trPr>
          <w:cantSplit/>
        </w:trPr>
        <w:tc>
          <w:tcPr>
            <w:tcW w:w="3707" w:type="dxa"/>
            <w:vAlign w:val="center"/>
          </w:tcPr>
          <w:p>
            <w:pPr>
              <w:spacing w:before="0" w:after="0" w:line="240" w:lineRule="auto"/>
              <w:jc w:val="left"/>
            </w:pPr>
            <w:r>
              <w:rPr>
                <w:rFonts w:ascii="Times New Roman" w:hAnsi="Times New Roman" w:cs="Times New Roman"/>
                <w:sz w:val="22"/>
                <w:szCs w:val="22"/>
              </w:rPr>
              <w:t>Housing, casing</w:t>
            </w:r>
          </w:p>
        </w:tc>
        <w:tc>
          <w:tcPr>
            <w:tcW w:w="1289" w:type="dxa"/>
            <w:vAlign w:val="center"/>
          </w:tcPr>
          <w:p>
            <w:pPr>
              <w:spacing w:before="0" w:after="0" w:line="240" w:lineRule="auto"/>
              <w:jc w:val="left"/>
            </w:pPr>
            <w:r>
              <w:rPr>
                <w:rFonts w:ascii="Times New Roman" w:hAnsi="Times New Roman" w:cs="Times New Roman"/>
                <w:sz w:val="22"/>
                <w:szCs w:val="22"/>
              </w:rPr>
              <w:t>#f2f2ef</w:t>
            </w:r>
          </w:p>
        </w:tc>
        <w:tc>
          <w:tcPr>
            <w:tcW w:w="4030" w:type="dxa"/>
            <w:vAlign w:val="center"/>
          </w:tcPr>
          <w:p>
            <w:pPr>
              <w:spacing w:before="0" w:after="0" w:line="240" w:lineRule="auto"/>
              <w:jc w:val="left"/>
            </w:pPr>
            <w:r>
              <w:rPr>
                <w:rFonts w:ascii="Times New Roman" w:hAnsi="Times New Roman" w:cs="Times New Roman"/>
                <w:sz w:val="22"/>
                <w:szCs w:val="22"/>
              </w:rPr>
              <w:t>cross-hatching in section</w:t>
            </w:r>
          </w:p>
        </w:tc>
      </w:tr>
      <w:tr>
        <w:trPr>
          <w:cantSplit/>
        </w:trPr>
        <w:tc>
          <w:tcPr>
            <w:tcW w:w="3707" w:type="dxa"/>
            <w:vAlign w:val="center"/>
          </w:tcPr>
          <w:p>
            <w:pPr>
              <w:spacing w:before="0" w:after="0" w:line="240" w:lineRule="auto"/>
              <w:jc w:val="left"/>
            </w:pPr>
            <w:r>
              <w:rPr>
                <w:rFonts w:ascii="Times New Roman" w:hAnsi="Times New Roman" w:cs="Times New Roman"/>
                <w:sz w:val="22"/>
                <w:szCs w:val="22"/>
              </w:rPr>
              <w:t>Shaft, solid steel</w:t>
            </w:r>
          </w:p>
        </w:tc>
        <w:tc>
          <w:tcPr>
            <w:tcW w:w="1289" w:type="dxa"/>
            <w:vAlign w:val="center"/>
          </w:tcPr>
          <w:p>
            <w:pPr>
              <w:spacing w:before="0" w:after="0" w:line="240" w:lineRule="auto"/>
              <w:jc w:val="left"/>
            </w:pPr>
            <w:r>
              <w:rPr>
                <w:rFonts w:ascii="Times New Roman" w:hAnsi="Times New Roman" w:cs="Times New Roman"/>
                <w:sz w:val="22"/>
                <w:szCs w:val="22"/>
              </w:rPr>
              <w:t>#cfcfcf</w:t>
            </w:r>
          </w:p>
        </w:tc>
        <w:tc>
          <w:tcPr>
            <w:tcW w:w="4030"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3707" w:type="dxa"/>
            <w:vAlign w:val="center"/>
          </w:tcPr>
          <w:p>
            <w:pPr>
              <w:spacing w:before="0" w:after="0" w:line="240" w:lineRule="auto"/>
              <w:jc w:val="left"/>
            </w:pPr>
            <w:r>
              <w:rPr>
                <w:rFonts w:ascii="Times New Roman" w:hAnsi="Times New Roman" w:cs="Times New Roman"/>
                <w:sz w:val="22"/>
                <w:szCs w:val="22"/>
              </w:rPr>
              <w:t>Solid rotor body</w:t>
            </w:r>
          </w:p>
        </w:tc>
        <w:tc>
          <w:tcPr>
            <w:tcW w:w="1289" w:type="dxa"/>
            <w:vAlign w:val="center"/>
          </w:tcPr>
          <w:p>
            <w:pPr>
              <w:spacing w:before="0" w:after="0" w:line="240" w:lineRule="auto"/>
              <w:jc w:val="left"/>
            </w:pPr>
            <w:r>
              <w:rPr>
                <w:rFonts w:ascii="Times New Roman" w:hAnsi="Times New Roman" w:cs="Times New Roman"/>
                <w:sz w:val="22"/>
                <w:szCs w:val="22"/>
              </w:rPr>
              <w:t>#a6a6a6</w:t>
            </w:r>
          </w:p>
        </w:tc>
        <w:tc>
          <w:tcPr>
            <w:tcW w:w="4030"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3707" w:type="dxa"/>
            <w:vAlign w:val="center"/>
          </w:tcPr>
          <w:p>
            <w:pPr>
              <w:spacing w:before="0" w:after="0" w:line="240" w:lineRule="auto"/>
              <w:jc w:val="left"/>
            </w:pPr>
            <w:r>
              <w:rPr>
                <w:rFonts w:ascii="Times New Roman" w:hAnsi="Times New Roman" w:cs="Times New Roman"/>
                <w:sz w:val="22"/>
                <w:szCs w:val="22"/>
              </w:rPr>
              <w:t>Laminated core</w:t>
            </w:r>
          </w:p>
        </w:tc>
        <w:tc>
          <w:tcPr>
            <w:tcW w:w="1289" w:type="dxa"/>
            <w:vAlign w:val="center"/>
          </w:tcPr>
          <w:p>
            <w:pPr>
              <w:spacing w:before="0" w:after="0" w:line="240" w:lineRule="auto"/>
              <w:jc w:val="left"/>
            </w:pPr>
            <w:r>
              <w:rPr>
                <w:rFonts w:ascii="Times New Roman" w:hAnsi="Times New Roman" w:cs="Times New Roman"/>
                <w:sz w:val="22"/>
                <w:szCs w:val="22"/>
              </w:rPr>
              <w:t>white</w:t>
            </w:r>
          </w:p>
        </w:tc>
        <w:tc>
          <w:tcPr>
            <w:tcW w:w="4030" w:type="dxa"/>
            <w:vAlign w:val="center"/>
          </w:tcPr>
          <w:p>
            <w:pPr>
              <w:spacing w:before="0" w:after="0" w:line="240" w:lineRule="auto"/>
              <w:jc w:val="left"/>
            </w:pPr>
            <w:r>
              <w:rPr>
                <w:rFonts w:ascii="Times New Roman" w:hAnsi="Times New Roman" w:cs="Times New Roman"/>
                <w:sz w:val="22"/>
                <w:szCs w:val="22"/>
              </w:rPr>
              <w:t>45° section hatching</w:t>
            </w:r>
          </w:p>
        </w:tc>
      </w:tr>
      <w:tr>
        <w:trPr>
          <w:cantSplit/>
        </w:trPr>
        <w:tc>
          <w:tcPr>
            <w:tcW w:w="3707" w:type="dxa"/>
            <w:vAlign w:val="center"/>
          </w:tcPr>
          <w:p>
            <w:pPr>
              <w:spacing w:before="0" w:after="0" w:line="240" w:lineRule="auto"/>
              <w:jc w:val="left"/>
            </w:pPr>
            <w:r>
              <w:rPr>
                <w:rFonts w:ascii="Times New Roman" w:hAnsi="Times New Roman" w:cs="Times New Roman"/>
                <w:sz w:val="22"/>
                <w:szCs w:val="22"/>
              </w:rPr>
              <w:t>Bearings, AMBs</w:t>
            </w:r>
          </w:p>
        </w:tc>
        <w:tc>
          <w:tcPr>
            <w:tcW w:w="1289" w:type="dxa"/>
            <w:vAlign w:val="center"/>
          </w:tcPr>
          <w:p>
            <w:pPr>
              <w:spacing w:before="0" w:after="0" w:line="240" w:lineRule="auto"/>
              <w:jc w:val="left"/>
            </w:pPr>
            <w:r>
              <w:rPr>
                <w:rFonts w:ascii="Times New Roman" w:hAnsi="Times New Roman" w:cs="Times New Roman"/>
                <w:sz w:val="22"/>
                <w:szCs w:val="22"/>
              </w:rPr>
              <w:t>white</w:t>
            </w:r>
          </w:p>
        </w:tc>
        <w:tc>
          <w:tcPr>
            <w:tcW w:w="4030" w:type="dxa"/>
            <w:vAlign w:val="center"/>
          </w:tcPr>
          <w:p>
            <w:pPr>
              <w:spacing w:before="0" w:after="0" w:line="240" w:lineRule="auto"/>
              <w:jc w:val="left"/>
            </w:pPr>
            <w:r>
              <w:rPr>
                <w:rFonts w:ascii="Times New Roman" w:hAnsi="Times New Roman" w:cs="Times New Roman"/>
                <w:sz w:val="22"/>
                <w:szCs w:val="22"/>
              </w:rPr>
              <w:t>opposite 45° hatching</w:t>
            </w:r>
          </w:p>
        </w:tc>
      </w:tr>
      <w:tr>
        <w:trPr>
          <w:cantSplit/>
        </w:trPr>
        <w:tc>
          <w:tcPr>
            <w:tcW w:w="3707" w:type="dxa"/>
            <w:vAlign w:val="center"/>
          </w:tcPr>
          <w:p>
            <w:pPr>
              <w:spacing w:before="0" w:after="0" w:line="240" w:lineRule="auto"/>
              <w:jc w:val="left"/>
            </w:pPr>
            <w:r>
              <w:rPr>
                <w:rFonts w:ascii="Times New Roman" w:hAnsi="Times New Roman" w:cs="Times New Roman"/>
                <w:sz w:val="22"/>
                <w:szCs w:val="22"/>
              </w:rPr>
              <w:t>Windings</w:t>
            </w:r>
          </w:p>
        </w:tc>
        <w:tc>
          <w:tcPr>
            <w:tcW w:w="1289" w:type="dxa"/>
            <w:vAlign w:val="center"/>
          </w:tcPr>
          <w:p>
            <w:pPr>
              <w:spacing w:before="0" w:after="0" w:line="240" w:lineRule="auto"/>
              <w:jc w:val="left"/>
            </w:pPr>
            <w:r>
              <w:rPr>
                <w:rFonts w:ascii="Times New Roman" w:hAnsi="Times New Roman" w:cs="Times New Roman"/>
                <w:sz w:val="22"/>
                <w:szCs w:val="22"/>
              </w:rPr>
              <w:t>#c9a227</w:t>
            </w:r>
          </w:p>
        </w:tc>
        <w:tc>
          <w:tcPr>
            <w:tcW w:w="4030"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3707" w:type="dxa"/>
            <w:vAlign w:val="center"/>
          </w:tcPr>
          <w:p>
            <w:pPr>
              <w:spacing w:before="0" w:after="0" w:line="240" w:lineRule="auto"/>
              <w:jc w:val="left"/>
            </w:pPr>
            <w:r>
              <w:rPr>
                <w:rFonts w:ascii="Times New Roman" w:hAnsi="Times New Roman" w:cs="Times New Roman"/>
                <w:sz w:val="22"/>
                <w:szCs w:val="22"/>
              </w:rPr>
              <w:t>Coolant, cooling jacket</w:t>
            </w:r>
          </w:p>
        </w:tc>
        <w:tc>
          <w:tcPr>
            <w:tcW w:w="1289" w:type="dxa"/>
            <w:vAlign w:val="center"/>
          </w:tcPr>
          <w:p>
            <w:pPr>
              <w:spacing w:before="0" w:after="0" w:line="240" w:lineRule="auto"/>
              <w:jc w:val="left"/>
            </w:pPr>
            <w:r>
              <w:rPr>
                <w:rFonts w:ascii="Times New Roman" w:hAnsi="Times New Roman" w:cs="Times New Roman"/>
                <w:sz w:val="22"/>
                <w:szCs w:val="22"/>
              </w:rPr>
              <w:t>#d7e4f0</w:t>
            </w:r>
          </w:p>
        </w:tc>
        <w:tc>
          <w:tcPr>
            <w:tcW w:w="4030"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3707" w:type="dxa"/>
            <w:vAlign w:val="center"/>
          </w:tcPr>
          <w:p>
            <w:pPr>
              <w:spacing w:before="0" w:after="0" w:line="240" w:lineRule="auto"/>
              <w:jc w:val="left"/>
            </w:pPr>
            <w:r>
              <w:rPr>
                <w:rFonts w:ascii="Times New Roman" w:hAnsi="Times New Roman" w:cs="Times New Roman"/>
                <w:sz w:val="22"/>
                <w:szCs w:val="22"/>
              </w:rPr>
              <w:t>Oil, lubrication</w:t>
            </w:r>
          </w:p>
        </w:tc>
        <w:tc>
          <w:tcPr>
            <w:tcW w:w="1289" w:type="dxa"/>
            <w:vAlign w:val="center"/>
          </w:tcPr>
          <w:p>
            <w:pPr>
              <w:spacing w:before="0" w:after="0" w:line="240" w:lineRule="auto"/>
              <w:jc w:val="left"/>
            </w:pPr>
            <w:r>
              <w:rPr>
                <w:rFonts w:ascii="Times New Roman" w:hAnsi="Times New Roman" w:cs="Times New Roman"/>
                <w:sz w:val="22"/>
                <w:szCs w:val="22"/>
              </w:rPr>
              <w:t>#f4e6d8</w:t>
            </w:r>
          </w:p>
        </w:tc>
        <w:tc>
          <w:tcPr>
            <w:tcW w:w="4030"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3707" w:type="dxa"/>
            <w:vAlign w:val="center"/>
          </w:tcPr>
          <w:p>
            <w:pPr>
              <w:spacing w:before="0" w:after="0" w:line="240" w:lineRule="auto"/>
              <w:jc w:val="left"/>
            </w:pPr>
            <w:r>
              <w:rPr>
                <w:rFonts w:ascii="Times New Roman" w:hAnsi="Times New Roman" w:cs="Times New Roman"/>
                <w:sz w:val="22"/>
                <w:szCs w:val="22"/>
              </w:rPr>
              <w:t>Floor, foundation</w:t>
            </w:r>
          </w:p>
        </w:tc>
        <w:tc>
          <w:tcPr>
            <w:tcW w:w="1289" w:type="dxa"/>
            <w:vAlign w:val="center"/>
          </w:tcPr>
          <w:p>
            <w:pPr>
              <w:spacing w:before="0" w:after="0" w:line="240" w:lineRule="auto"/>
              <w:jc w:val="left"/>
            </w:pPr>
            <w:r>
              <w:rPr>
                <w:rFonts w:ascii="Times New Roman" w:hAnsi="Times New Roman" w:cs="Times New Roman"/>
                <w:sz w:val="22"/>
                <w:szCs w:val="22"/>
              </w:rPr>
              <w:t>#f5f5f5</w:t>
            </w:r>
          </w:p>
        </w:tc>
        <w:tc>
          <w:tcPr>
            <w:tcW w:w="4030" w:type="dxa"/>
            <w:vAlign w:val="center"/>
          </w:tcPr>
          <w:p>
            <w:pPr>
              <w:spacing w:before="0" w:after="0" w:line="240" w:lineRule="auto"/>
              <w:jc w:val="left"/>
            </w:pPr>
            <w:r>
              <w:rPr>
                <w:rFonts w:ascii="Times New Roman" w:hAnsi="Times New Roman" w:cs="Times New Roman"/>
                <w:sz w:val="22"/>
                <w:szCs w:val="22"/>
              </w:rPr>
              <w:t>—</w:t>
            </w:r>
          </w:p>
        </w:tc>
      </w:tr>
    </w:tbl>
    <w:p>
      <w:pPr>
        <w:spacing w:after="40"/>
      </w:pPr>
    </w:p>
    <w:p>
      <w:pPr>
        <w:pStyle w:val="Heading1"/>
      </w:pPr>
      <w:r>
        <w:t>5. Colour and greyscale</w:t>
      </w:r>
    </w:p>
    <w:p>
      <w:pPr>
        <w:jc w:val="both"/>
      </w:pPr>
      <w:r>
        <w:t xml:space="preserve">Wiley has not yet said whether the book prints in colour. Until it does, </w:t>
      </w:r>
      <w:r>
        <w:rPr>
          <w:b/>
        </w:rPr>
        <w:t>every figure must read correctly when printed in greyscale</w:t>
      </w:r>
      <w:r>
        <w:t>. That is why each colour carries its own line style or hatching. Check by printing the figure in black and white.</w:t>
      </w:r>
    </w:p>
    <w:p>
      <w:pPr>
        <w:pStyle w:val="Heading1"/>
      </w:pPr>
      <w:r>
        <w:t>6. Tables</w:t>
      </w:r>
    </w:p>
    <w:p>
      <w:pPr>
        <w:pStyle w:val="ListBullet"/>
      </w:pPr>
      <w:r>
        <w:rPr>
          <w:b/>
        </w:rPr>
        <w:t>Caption above</w:t>
      </w:r>
      <w:r>
        <w:t xml:space="preserve"> the table.</w:t>
      </w:r>
    </w:p>
    <w:p>
      <w:pPr>
        <w:pStyle w:val="ListBullet"/>
      </w:pPr>
      <w:r>
        <w:rPr>
          <w:b/>
        </w:rPr>
        <w:t>Times New Roman 11 pt</w:t>
      </w:r>
      <w:r>
        <w:t xml:space="preserve"> throughout, single line spacing, no space before or after paragraphs in cells.</w:t>
      </w:r>
    </w:p>
    <w:p>
      <w:pPr>
        <w:pStyle w:val="ListBullet"/>
      </w:pPr>
      <w:r>
        <w:rPr>
          <w:b/>
        </w:rPr>
        <w:t>Horizontal rules only</w:t>
      </w:r>
      <w:r>
        <w:t>: 1 pt above and below the table, 0.5 pt under the header row. No vertical rules, no shading, no grid.</w:t>
      </w:r>
    </w:p>
    <w:p>
      <w:pPr>
        <w:pStyle w:val="ListBullet"/>
      </w:pPr>
      <w:r>
        <w:rPr>
          <w:b/>
        </w:rPr>
        <w:t>Header row</w:t>
      </w:r>
      <w:r>
        <w:t xml:space="preserve"> bold and repeated at the top of each page. Units go in the header in parentheses. </w:t>
      </w:r>
      <w:r>
        <w:rPr>
          <w:b/>
        </w:rPr>
        <w:t>Body rows</w:t>
      </w:r>
      <w:r>
        <w:t xml:space="preserve"> regular. Rows are not split across pages.</w:t>
      </w:r>
    </w:p>
    <w:p>
      <w:pPr>
        <w:pStyle w:val="ListBullet"/>
      </w:pPr>
      <w:r>
        <w:rPr>
          <w:b/>
        </w:rPr>
        <w:t>Alignment</w:t>
      </w:r>
      <w:r>
        <w:t>: text columns left, columns of numbers or short formulae centred.</w:t>
      </w:r>
    </w:p>
    <w:p>
      <w:pPr>
        <w:pStyle w:val="ListBullet"/>
      </w:pPr>
      <w:r>
        <w:rPr>
          <w:b/>
        </w:rPr>
        <w:t>Full text width</w:t>
      </w:r>
      <w:r>
        <w:t>, sentence case, × for factors.</w:t>
      </w:r>
    </w:p>
    <w:p>
      <w:pPr>
        <w:jc w:val="both"/>
      </w:pPr>
      <w:r>
        <w:t xml:space="preserve">The Word table style </w:t>
      </w:r>
      <w:r>
        <w:rPr>
          <w:i/>
        </w:rPr>
        <w:t>HS Book Table</w:t>
      </w:r>
      <w:r>
        <w:t xml:space="preserve"> in this document does all of this. Insert a table, choose the style, and mark the first row as a header row.</w:t>
      </w:r>
    </w:p>
    <w:p>
      <w:pPr>
        <w:pStyle w:val="Heading1"/>
      </w:pPr>
      <w:r>
        <w:t>7. Captions</w:t>
      </w:r>
    </w:p>
    <w:p>
      <w:pPr>
        <w:pStyle w:val="ListBullet"/>
      </w:pPr>
      <w:r>
        <w:rPr>
          <w:b/>
        </w:rPr>
        <w:t>Label</w:t>
      </w:r>
      <w:r>
        <w:t>: "Figure 4.7." or "Table 4.2.", in bold, followed by the caption in regular type. The full stop after the number is always there.</w:t>
      </w:r>
    </w:p>
    <w:p>
      <w:pPr>
        <w:pStyle w:val="ListBullet"/>
      </w:pPr>
      <w:r>
        <w:rPr>
          <w:b/>
        </w:rPr>
        <w:t>Placement</w:t>
      </w:r>
      <w:r>
        <w:t xml:space="preserve">: figure captions </w:t>
      </w:r>
      <w:r>
        <w:rPr>
          <w:b/>
        </w:rPr>
        <w:t>below</w:t>
      </w:r>
      <w:r>
        <w:t xml:space="preserve"> the figure; table captions </w:t>
      </w:r>
      <w:r>
        <w:rPr>
          <w:b/>
        </w:rPr>
        <w:t>above</w:t>
      </w:r>
      <w:r>
        <w:t xml:space="preserve"> the table.</w:t>
      </w:r>
    </w:p>
    <w:p>
      <w:pPr>
        <w:pStyle w:val="ListBullet"/>
      </w:pPr>
      <w:r>
        <w:rPr>
          <w:b/>
        </w:rPr>
        <w:t>Content</w:t>
      </w:r>
      <w:r>
        <w:t>: the first sentence names what is shown; the following sentences say what to look for. Panels are referred to by letter. Values that are illustrative rather than measured are said to be so.</w:t>
      </w:r>
    </w:p>
    <w:p>
      <w:pPr>
        <w:pStyle w:val="ListBullet"/>
      </w:pPr>
      <w:r>
        <w:rPr>
          <w:b/>
        </w:rPr>
        <w:t>Style</w:t>
      </w:r>
      <w:r>
        <w:t xml:space="preserve">: the Word paragraph style </w:t>
      </w:r>
      <w:r>
        <w:rPr>
          <w:i/>
        </w:rPr>
        <w:t>Caption</w:t>
      </w:r>
      <w:r>
        <w:t xml:space="preserve"> in this document: Times New Roman 11 pt, justified like the text.</w:t>
      </w:r>
    </w:p>
    <w:p>
      <w:pPr>
        <w:pStyle w:val="Heading1"/>
      </w:pPr>
      <w:r>
        <w:t>8. Sources and rights</w:t>
      </w:r>
    </w:p>
    <w:p>
      <w:pPr>
        <w:pStyle w:val="ListBullet"/>
      </w:pPr>
      <w:r>
        <w:rPr>
          <w:b/>
        </w:rPr>
        <w:t>No AI-generated images.</w:t>
      </w:r>
      <w:r>
        <w:t xml:space="preserve"> The copyright in them is unsettled, so the authors may not be able to grant Wiley the licence the contract asks for. Several large publishers do not accept them at all.</w:t>
      </w:r>
    </w:p>
    <w:p>
      <w:pPr>
        <w:pStyle w:val="ListBullet"/>
      </w:pPr>
      <w:r>
        <w:rPr>
          <w:b/>
        </w:rPr>
        <w:t>Figures taken from another source</w:t>
      </w:r>
      <w:r>
        <w:t xml:space="preserve"> are redrawn in this style and cited in the caption: "Redrawn from [12]." When the redrawing follows the original closely, permission is still needed; ask the chapter owner.</w:t>
      </w:r>
    </w:p>
    <w:p>
      <w:pPr>
        <w:pStyle w:val="ListBullet"/>
      </w:pPr>
      <w:r>
        <w:rPr>
          <w:b/>
        </w:rPr>
        <w:t>Data from another source</w:t>
      </w:r>
      <w:r>
        <w:t xml:space="preserve"> is plotted in this style, and the source of the data is cited in the caption.</w:t>
      </w:r>
    </w:p>
    <w:p>
      <w:pPr>
        <w:pStyle w:val="ListBullet"/>
      </w:pPr>
      <w:r>
        <w:rPr>
          <w:b/>
        </w:rPr>
        <w:t>Photographs</w:t>
      </w:r>
      <w:r>
        <w:t xml:space="preserve"> are used only of real hardware, at no less than 300 dpi at printed size, and only with the owner's written permission.</w:t>
      </w:r>
    </w:p>
    <w:p>
      <w:pPr>
        <w:pStyle w:val="Heading1"/>
      </w:pPr>
      <w:r>
        <w:t>9. What to deliver with a chapter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325"/>
        <w:gridCol w:w="5701"/>
      </w:tblGrid>
      <w:tr>
        <w:trPr>
          <w:cantSplit/>
          <w:tblHeader/>
        </w:trPr>
        <w:tc>
          <w:tcPr>
            <w:tcW w:w="3325"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File</w:t>
            </w:r>
          </w:p>
        </w:tc>
        <w:tc>
          <w:tcPr>
            <w:tcW w:w="570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Purpose</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fig_4_07.png</w:t>
            </w:r>
          </w:p>
        </w:tc>
        <w:tc>
          <w:tcPr>
            <w:tcW w:w="5701" w:type="dxa"/>
            <w:vAlign w:val="center"/>
          </w:tcPr>
          <w:p>
            <w:pPr>
              <w:spacing w:before="0" w:after="0" w:line="240" w:lineRule="auto"/>
              <w:jc w:val="left"/>
            </w:pPr>
            <w:r>
              <w:rPr>
                <w:rFonts w:ascii="Times New Roman" w:hAnsi="Times New Roman" w:cs="Times New Roman"/>
                <w:sz w:val="22"/>
                <w:szCs w:val="22"/>
              </w:rPr>
              <w:t>in the manuscript: 600 dpi, exactly 15.92 cm wide</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fig_4_07.pdf</w:t>
            </w:r>
            <w:r>
              <w:rPr>
                <w:rFonts w:ascii="Times New Roman" w:hAnsi="Times New Roman" w:cs="Times New Roman"/>
                <w:sz w:val="22"/>
                <w:szCs w:val="22"/>
              </w:rPr>
              <w:t xml:space="preserve"> or </w:t>
            </w:r>
            <w:r>
              <w:rPr>
                <w:rFonts w:ascii="Times New Roman" w:hAnsi="Times New Roman" w:cs="Times New Roman"/>
                <w:sz w:val="22"/>
                <w:szCs w:val="22"/>
              </w:rPr>
              <w:t>.svg</w:t>
            </w:r>
          </w:p>
        </w:tc>
        <w:tc>
          <w:tcPr>
            <w:tcW w:w="5701" w:type="dxa"/>
            <w:vAlign w:val="center"/>
          </w:tcPr>
          <w:p>
            <w:pPr>
              <w:spacing w:before="0" w:after="0" w:line="240" w:lineRule="auto"/>
              <w:jc w:val="left"/>
            </w:pPr>
            <w:r>
              <w:rPr>
                <w:rFonts w:ascii="Times New Roman" w:hAnsi="Times New Roman" w:cs="Times New Roman"/>
                <w:sz w:val="22"/>
                <w:szCs w:val="22"/>
              </w:rPr>
              <w:t>for production: vector, text kept as text, fonts embedded</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 xml:space="preserve">the script or </w:t>
            </w:r>
            <w:r>
              <w:rPr>
                <w:rFonts w:ascii="Times New Roman" w:hAnsi="Times New Roman" w:cs="Times New Roman"/>
                <w:sz w:val="22"/>
                <w:szCs w:val="22"/>
              </w:rPr>
              <w:t>.m</w:t>
            </w:r>
            <w:r>
              <w:rPr>
                <w:rFonts w:ascii="Times New Roman" w:hAnsi="Times New Roman" w:cs="Times New Roman"/>
                <w:sz w:val="22"/>
                <w:szCs w:val="22"/>
              </w:rPr>
              <w:t xml:space="preserve"> file that draws it</w:t>
            </w:r>
          </w:p>
        </w:tc>
        <w:tc>
          <w:tcPr>
            <w:tcW w:w="5701" w:type="dxa"/>
            <w:vAlign w:val="center"/>
          </w:tcPr>
          <w:p>
            <w:pPr>
              <w:spacing w:before="0" w:after="0" w:line="240" w:lineRule="auto"/>
              <w:jc w:val="left"/>
            </w:pPr>
            <w:r>
              <w:rPr>
                <w:rFonts w:ascii="Times New Roman" w:hAnsi="Times New Roman" w:cs="Times New Roman"/>
                <w:sz w:val="22"/>
                <w:szCs w:val="22"/>
              </w:rPr>
              <w:t>so that any figure can be regenerated when the trim size or a value changes</w:t>
            </w:r>
          </w:p>
        </w:tc>
      </w:tr>
    </w:tbl>
    <w:p>
      <w:pPr>
        <w:spacing w:after="40"/>
      </w:pPr>
    </w:p>
    <w:p>
      <w:pPr>
        <w:jc w:val="both"/>
      </w:pPr>
      <w:r>
        <w:t xml:space="preserve">Name figures </w:t>
      </w:r>
      <w:r>
        <w:rPr>
          <w:rFonts w:ascii="Courier New" w:hAnsi="Courier New"/>
          <w:sz w:val="20"/>
        </w:rPr>
        <w:t>fig_&lt;chapter&gt;_&lt;number&gt;</w:t>
      </w:r>
      <w:r>
        <w:t xml:space="preserve">, with two-digit numbers: </w:t>
      </w:r>
      <w:r>
        <w:rPr>
          <w:rFonts w:ascii="Courier New" w:hAnsi="Courier New"/>
          <w:sz w:val="20"/>
        </w:rPr>
        <w:t>fig_4_07</w:t>
      </w:r>
      <w:r>
        <w:t>.</w:t>
      </w:r>
    </w:p>
    <w:p>
      <w:pPr>
        <w:pStyle w:val="Heading1"/>
      </w:pPr>
      <w:r>
        <w:t>10. The tools</w:t>
      </w:r>
    </w:p>
    <w:p>
      <w:pPr>
        <w:jc w:val="both"/>
      </w:pPr>
      <w:r>
        <w:rPr>
          <w:b/>
        </w:rPr>
        <w:t>Python.</w:t>
      </w:r>
      <w:r>
        <w:t xml:space="preserve"> </w:t>
      </w:r>
      <w:r>
        <w:rPr>
          <w:rFonts w:ascii="Courier New" w:hAnsi="Courier New"/>
          <w:sz w:val="20"/>
        </w:rPr>
        <w:t>hsbook_style.py</w:t>
      </w:r>
      <w:r>
        <w:t xml:space="preserve"> sets matplotlib to this style. </w:t>
      </w:r>
      <w:r>
        <w:rPr>
          <w:rFonts w:ascii="Courier New" w:hAnsi="Courier New"/>
          <w:sz w:val="20"/>
        </w:rPr>
        <w:t>save()</w:t>
      </w:r>
      <w:r>
        <w:t xml:space="preserve"> checks every piece of text in the figure and refuses to write a figure whose font, size or weight is off.</w:t>
      </w:r>
    </w:p>
    <w:p>
      <w:pPr>
        <w:spacing w:after="0"/>
        <w:ind w:left="340"/>
      </w:pPr>
      <w:r>
        <w:rPr>
          <w:rFonts w:ascii="Courier New" w:hAnsi="Courier New"/>
          <w:sz w:val="19"/>
        </w:rPr>
        <w:t>import hsbook_style as hs</w:t>
      </w:r>
    </w:p>
    <w:p>
      <w:pPr>
        <w:spacing w:after="0"/>
        <w:ind w:left="340"/>
      </w:pPr>
      <w:r>
        <w:rPr>
          <w:rFonts w:ascii="Courier New" w:hAnsi="Courier New"/>
          <w:sz w:val="19"/>
        </w:rPr>
        <w:t>hs.setup()</w:t>
      </w:r>
    </w:p>
    <w:p>
      <w:pPr>
        <w:spacing w:after="0"/>
        <w:ind w:left="340"/>
      </w:pPr>
      <w:r>
        <w:rPr>
          <w:rFonts w:ascii="Courier New" w:hAnsi="Courier New"/>
          <w:sz w:val="19"/>
        </w:rPr>
        <w:t>fig, ax = hs.figure(8.5)           # a graph, 8.5 cm tall</w:t>
      </w:r>
    </w:p>
    <w:p>
      <w:pPr>
        <w:spacing w:after="0"/>
        <w:ind w:left="340"/>
      </w:pPr>
      <w:r>
        <w:rPr>
          <w:rFonts w:ascii="Courier New" w:hAnsi="Courier New"/>
          <w:sz w:val="19"/>
        </w:rPr>
        <w:t>ax.plot(n, P_loss)</w:t>
      </w:r>
    </w:p>
    <w:p>
      <w:pPr>
        <w:spacing w:after="0"/>
        <w:ind w:left="340"/>
      </w:pPr>
      <w:r>
        <w:rPr>
          <w:rFonts w:ascii="Courier New" w:hAnsi="Courier New"/>
          <w:sz w:val="19"/>
        </w:rPr>
        <w:t>ax.set_xlabel(hs.label('Rotational speed', 'n', 'r/min'))</w:t>
      </w:r>
    </w:p>
    <w:p>
      <w:pPr>
        <w:spacing w:after="0"/>
        <w:ind w:left="340"/>
      </w:pPr>
      <w:r>
        <w:rPr>
          <w:rFonts w:ascii="Courier New" w:hAnsi="Courier New"/>
          <w:sz w:val="19"/>
        </w:rPr>
        <w:t>ax.set_ylabel(hs.label('Loss', 'P_loss', 'kW'))</w:t>
      </w:r>
    </w:p>
    <w:p>
      <w:pPr>
        <w:spacing w:after="0"/>
        <w:ind w:left="340"/>
      </w:pPr>
      <w:r>
        <w:rPr>
          <w:rFonts w:ascii="Courier New" w:hAnsi="Courier New"/>
          <w:sz w:val="19"/>
        </w:rPr>
        <w:t>hs.save(fig, 'figures/fig_4_07')   # .png, .pdf and .svg</w:t>
      </w:r>
    </w:p>
    <w:p>
      <w:pPr>
        <w:spacing w:after="0"/>
        <w:ind w:left="340"/>
      </w:pPr>
      <w:r>
        <w:rPr>
          <w:rFonts w:ascii="Courier New" w:hAnsi="Courier New"/>
          <w:sz w:val="19"/>
        </w:rPr>
      </w:r>
    </w:p>
    <w:p>
      <w:pPr>
        <w:spacing w:after="160"/>
        <w:ind w:left="340"/>
      </w:pPr>
      <w:r>
        <w:rPr>
          <w:rFonts w:ascii="Courier New" w:hAnsi="Courier New"/>
          <w:sz w:val="19"/>
        </w:rPr>
        <w:t>fig, ax = hs.canvas(12.0)          # an illustration, in cm</w:t>
      </w:r>
    </w:p>
    <w:p>
      <w:pPr>
        <w:jc w:val="both"/>
      </w:pPr>
      <w:r>
        <w:rPr>
          <w:b/>
        </w:rPr>
        <w:t>MATLAB.</w:t>
      </w:r>
      <w:r>
        <w:t xml:space="preserve"> </w:t>
      </w:r>
      <w:r>
        <w:rPr>
          <w:rFonts w:ascii="Courier New" w:hAnsi="Courier New"/>
          <w:sz w:val="20"/>
        </w:rPr>
        <w:t>hsbook_style.m</w:t>
      </w:r>
      <w:r>
        <w:t xml:space="preserve"> takes a finished figure and puts it into this style: width, font, size, line weights, ticks, grid, series colours and styles, no title, no legend box. It then exports it at exactly that size.</w:t>
      </w:r>
    </w:p>
    <w:p>
      <w:pPr>
        <w:spacing w:after="0"/>
        <w:ind w:left="340"/>
      </w:pPr>
      <w:r>
        <w:rPr>
          <w:rFonts w:ascii="Courier New" w:hAnsi="Courier New"/>
          <w:sz w:val="19"/>
        </w:rPr>
        <w:t>plot(n, P1, n, P2)</w:t>
      </w:r>
    </w:p>
    <w:p>
      <w:pPr>
        <w:spacing w:after="0"/>
        <w:ind w:left="340"/>
      </w:pPr>
      <w:r>
        <w:rPr>
          <w:rFonts w:ascii="Courier New" w:hAnsi="Courier New"/>
          <w:sz w:val="19"/>
        </w:rPr>
        <w:t>xlabel('Rotational speed \itn\rm (r/min)')</w:t>
      </w:r>
    </w:p>
    <w:p>
      <w:pPr>
        <w:spacing w:after="160"/>
        <w:ind w:left="340"/>
      </w:pPr>
      <w:r>
        <w:rPr>
          <w:rFonts w:ascii="Courier New" w:hAnsi="Courier New"/>
          <w:sz w:val="19"/>
        </w:rPr>
        <w:t>hsbook_style(gcf, 8.5, 'fig_4_07')   % restyle, write .png, .pdf</w:t>
      </w:r>
    </w:p>
    <w:p>
      <w:pPr>
        <w:jc w:val="both"/>
      </w:pPr>
      <w:r>
        <w:t>The MATLAB function was written without access to MATLAB. Check the first figure it exports by eye, and report anything it gets wrong so that it can be fixed for everyone at once.</w:t>
      </w:r>
    </w:p>
    <w:p>
      <w:pPr>
        <w:jc w:val="both"/>
      </w:pPr>
      <w:r>
        <w:rPr>
          <w:b/>
        </w:rPr>
        <w:t>Word.</w:t>
      </w:r>
      <w:r>
        <w:t xml:space="preserve"> The </w:t>
      </w:r>
      <w:r>
        <w:rPr>
          <w:i/>
        </w:rPr>
        <w:t>Caption</w:t>
      </w:r>
      <w:r>
        <w:t xml:space="preserve"> paragraph style and the </w:t>
      </w:r>
      <w:r>
        <w:rPr>
          <w:i/>
        </w:rPr>
        <w:t>HS Book Table</w:t>
      </w:r>
      <w:r>
        <w:t xml:space="preserve"> table style are defined in this document. Copy them into a chapter with Home → Styles → Manage Styles → Import/Export, or simply paste a table from this document.</w:t>
      </w:r>
    </w:p>
    <w:p>
      <w:pPr>
        <w:pStyle w:val="Heading1"/>
      </w:pPr>
      <w:r>
        <w:t>11. Checklist before sending a chapter</w:t>
      </w:r>
    </w:p>
    <w:p>
      <w:pPr>
        <w:pStyle w:val="ListNumber"/>
      </w:pPr>
      <w:r>
        <w:t>Every figure is 15.92 cm wide and inserted at 100 %, with no Word cropping.</w:t>
      </w:r>
    </w:p>
    <w:p>
      <w:pPr>
        <w:pStyle w:val="ListNumber"/>
      </w:pPr>
      <w:r>
        <w:t>All text in figures and tables is Times New Roman 11 pt, with symbols in italic.</w:t>
      </w:r>
    </w:p>
    <w:p>
      <w:pPr>
        <w:pStyle w:val="ListNumber"/>
      </w:pPr>
      <w:r>
        <w:t>No titles inside figures; panels lettered (a), (b) below the panels.</w:t>
      </w:r>
    </w:p>
    <w:p>
      <w:pPr>
        <w:pStyle w:val="ListNumber"/>
      </w:pPr>
      <w:r>
        <w:t>Every graph reads in greyscale.</w:t>
      </w:r>
    </w:p>
    <w:p>
      <w:pPr>
        <w:pStyle w:val="ListNumber"/>
      </w:pPr>
      <w:r>
        <w:t>Illustrations are 2-D drawings, with no AI imagery and no photorealism.</w:t>
      </w:r>
    </w:p>
    <w:p>
      <w:pPr>
        <w:pStyle w:val="ListNumber"/>
      </w:pPr>
      <w:r>
        <w:t xml:space="preserve">Tables use </w:t>
      </w:r>
      <w:r>
        <w:rPr>
          <w:i/>
        </w:rPr>
        <w:t>HS Book Table</w:t>
      </w:r>
      <w:r>
        <w:t>, with the caption above.</w:t>
      </w:r>
    </w:p>
    <w:p>
      <w:pPr>
        <w:pStyle w:val="ListNumber"/>
      </w:pPr>
      <w:r>
        <w:t xml:space="preserve">Captions use </w:t>
      </w:r>
      <w:r>
        <w:rPr>
          <w:i/>
        </w:rPr>
        <w:t>Caption</w:t>
      </w:r>
      <w:r>
        <w:t>, labels "Figure c.n." and "Table c.n." in bold.</w:t>
      </w:r>
    </w:p>
    <w:p>
      <w:pPr>
        <w:pStyle w:val="ListNumber"/>
      </w:pPr>
      <w:r>
        <w:t>Units in SI, r/min not rpm, × not x, thin space in 30 000.</w:t>
      </w:r>
    </w:p>
    <w:p>
      <w:pPr>
        <w:pStyle w:val="ListNumber"/>
      </w:pPr>
      <w:r>
        <w:t>Every borrowed figure is redrawn and cited; every borrowed dataset is cited.</w:t>
      </w:r>
    </w:p>
    <w:p>
      <w:pPr>
        <w:pStyle w:val="ListNumber"/>
      </w:pPr>
      <w:r>
        <w:t>The source file of every figure is delivered with it.</w:t>
      </w:r>
    </w:p>
    <w:p>
      <w:pPr>
        <w:pStyle w:val="Heading1"/>
      </w:pPr>
      <w:r>
        <w:t>Example: a figure and its caption as they stand in Chapter 1</w:t>
      </w:r>
    </w:p>
    <w:p>
      <w:pPr>
        <w:keepNext/>
        <w:jc w:val="center"/>
      </w:pPr>
      <w:r>
        <w:drawing>
          <wp:inline xmlns:a="http://schemas.openxmlformats.org/drawingml/2006/main" xmlns:pic="http://schemas.openxmlformats.org/drawingml/2006/picture">
            <wp:extent cx="5731510" cy="3239218"/>
            <wp:docPr id="1" name="Picture 1"/>
            <wp:cNvGraphicFramePr>
              <a:graphicFrameLocks noChangeAspect="1"/>
            </wp:cNvGraphicFramePr>
            <a:graphic>
              <a:graphicData uri="http://schemas.openxmlformats.org/drawingml/2006/picture">
                <pic:pic>
                  <pic:nvPicPr>
                    <pic:cNvPr id="0" name="fig_1_05.png"/>
                    <pic:cNvPicPr/>
                  </pic:nvPicPr>
                  <pic:blipFill>
                    <a:blip r:embed="rId9"/>
                    <a:stretch>
                      <a:fillRect/>
                    </a:stretch>
                  </pic:blipFill>
                  <pic:spPr>
                    <a:xfrm>
                      <a:off x="0" y="0"/>
                      <a:ext cx="5731510" cy="3239218"/>
                    </a:xfrm>
                    <a:prstGeom prst="rect"/>
                  </pic:spPr>
                </pic:pic>
              </a:graphicData>
            </a:graphic>
          </wp:inline>
        </w:drawing>
      </w:r>
    </w:p>
    <w:p>
      <w:pPr>
        <w:pStyle w:val="Caption"/>
      </w:pPr>
      <w:r>
        <w:rPr>
          <w:b/>
        </w:rPr>
        <w:t>Figure 1.5.</w:t>
      </w:r>
      <w:r>
        <w:t xml:space="preserve"> Loss components against rotational speed at fixed machine geometry: copper loss approximately constant, iron loss rising roughly with the square of speed and windage with its cube. The loss values are illustrative.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imes New Roman" w:hAnsi="Times New Roman"/>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