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412</w:t>
            </w:r>
          </w:p>
        </w:tc>
        <w:tc>
          <w:tcPr>
            <w:tcW w:type="dxa" w:w="1234"/>
          </w:tcPr>
          <w:p>
            <w:r>
              <w:rPr>
                <w:sz w:val="19"/>
              </w:rPr>
            </w:r>
            <w:r>
              <w:rPr>
                <w:b/>
                <w:sz w:val="19"/>
              </w:rPr>
              <w:t>161 700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452</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Owner: J. Saari of Upheat, who covers the industrial applications and the high-temperature heat pump of §2.8 from a manufacturer, and who recruits co-authors for §2.2, the aerodynamic optimum, and for the mobile applications.</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high-temperature heat pumps</w:t>
            </w:r>
          </w:p>
        </w:tc>
        <w:tc>
          <w:tcPr>
            <w:tcW w:type="dxa" w:w="2160"/>
          </w:tcPr>
          <w:p>
            <w:r>
              <w:rPr>
                <w:sz w:val="19"/>
              </w:rPr>
            </w:r>
            <w:r>
              <w:rPr>
                <w:sz w:val="19"/>
              </w:rPr>
              <w:t>invited</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agreed in principle</w:t>
            </w:r>
          </w:p>
        </w:tc>
      </w:tr>
      <w:tr>
        <w:tc>
          <w:tcPr>
            <w:tcW w:type="dxa" w:w="2160"/>
          </w:tcPr>
          <w:p>
            <w:r>
              <w:rPr>
                <w:sz w:val="19"/>
              </w:rPr>
            </w:r>
            <w:r>
              <w:rPr>
                <w:sz w:val="19"/>
              </w:rPr>
              <w:t>8 — AC winding losses and conductor design</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expected</w:t>
            </w:r>
          </w:p>
        </w:tc>
      </w:tr>
      <w:tr>
        <w:tc>
          <w:tcPr>
            <w:tcW w:type="dxa" w:w="2160"/>
          </w:tcPr>
          <w:p>
            <w:r>
              <w:rPr>
                <w:sz w:val="19"/>
              </w:rPr>
            </w:r>
            <w:r>
              <w:rPr>
                <w:sz w:val="19"/>
              </w:rPr>
              <w:t>9 — Core, rotor and aerodynamic losses</w:t>
            </w:r>
          </w:p>
        </w:tc>
        <w:tc>
          <w:tcPr>
            <w:tcW w:type="dxa" w:w="2160"/>
          </w:tcPr>
          <w:p>
            <w:r>
              <w:rPr>
                <w:sz w:val="19"/>
              </w:rPr>
            </w:r>
            <w:r>
              <w:rPr>
                <w:sz w:val="19"/>
              </w:rPr>
              <w:t>Paavo Rasilo</w:t>
            </w:r>
          </w:p>
        </w:tc>
        <w:tc>
          <w:tcPr>
            <w:tcW w:type="dxa" w:w="2160"/>
          </w:tcPr>
          <w:p>
            <w:r>
              <w:rPr>
                <w:sz w:val="19"/>
              </w:rPr>
            </w:r>
            <w:r>
              <w:rPr>
                <w:sz w:val="19"/>
              </w:rPr>
              <w:t>Tampere University</w:t>
            </w:r>
          </w:p>
        </w:tc>
        <w:tc>
          <w:tcPr>
            <w:tcW w:type="dxa" w:w="2160"/>
          </w:tcPr>
          <w:p>
            <w:r>
              <w:rPr>
                <w:sz w:val="19"/>
              </w:rPr>
            </w:r>
            <w:r>
              <w:rPr>
                <w:sz w:val="19"/>
              </w:rPr>
              <w:t>to be invited</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Newcastle University</w:t>
            </w:r>
          </w:p>
        </w:tc>
        <w:tc>
          <w:tcPr>
            <w:tcW w:type="dxa" w:w="2160"/>
          </w:tcPr>
          <w:p>
            <w:r>
              <w:rPr>
                <w:sz w:val="19"/>
              </w:rPr>
            </w:r>
            <w:r>
              <w:rPr>
                <w:sz w:val="19"/>
              </w:rPr>
              <w:t>interested; considering the chapter</w:t>
            </w:r>
          </w:p>
        </w:tc>
      </w:tr>
      <w:tr>
        <w:tc>
          <w:tcPr>
            <w:tcW w:type="dxa" w:w="2160"/>
          </w:tcPr>
          <w:p>
            <w:r>
              <w:rPr>
                <w:sz w:val="19"/>
              </w:rPr>
            </w:r>
            <w:r>
              <w:rPr>
                <w:sz w:val="19"/>
              </w:rPr>
              <w:t>11 — The drive: the converter interface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agreed in principle</w:t>
            </w:r>
          </w:p>
        </w:tc>
      </w:tr>
      <w:tr>
        <w:tc>
          <w:tcPr>
            <w:tcW w:type="dxa" w:w="2160"/>
          </w:tcPr>
          <w:p>
            <w:r>
              <w:rPr>
                <w:sz w:val="19"/>
              </w:rPr>
            </w:r>
            <w:r>
              <w:rPr>
                <w:sz w:val="19"/>
              </w:rPr>
              <w:t>12 — Control at high fundamental frequency</w:t>
            </w:r>
          </w:p>
        </w:tc>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to be invited</w:t>
            </w:r>
          </w:p>
        </w:tc>
      </w:tr>
      <w:tr>
        <w:tc>
          <w:tcPr>
            <w:tcW w:type="dxa" w:w="2160"/>
          </w:tcPr>
          <w:p>
            <w:r>
              <w:rPr>
                <w:sz w:val="19"/>
              </w:rPr>
            </w:r>
            <w:r>
              <w:rPr>
                <w:sz w:val="19"/>
              </w:rPr>
              <w:t>13 — Industrial case studies</w:t>
            </w:r>
          </w:p>
        </w:tc>
        <w:tc>
          <w:tcPr>
            <w:tcW w:type="dxa" w:w="2160"/>
          </w:tcPr>
          <w:p>
            <w:r>
              <w:rPr>
                <w:sz w:val="19"/>
              </w:rPr>
            </w:r>
            <w:r>
              <w:rPr>
                <w:sz w:val="19"/>
              </w:rPr>
              <w:t>Jonna Tiainen and Ahti Jaatinen-Värri</w:t>
            </w:r>
          </w:p>
        </w:tc>
        <w:tc>
          <w:tcPr>
            <w:tcW w:type="dxa" w:w="2160"/>
          </w:tcPr>
          <w:p>
            <w:r>
              <w:rPr>
                <w:sz w:val="19"/>
              </w:rPr>
            </w:r>
            <w:r>
              <w:rPr>
                <w:sz w:val="19"/>
              </w:rPr>
              <w:t>The Switch; LUT, turbomachinery</w:t>
            </w:r>
          </w:p>
        </w:tc>
        <w:tc>
          <w:tcPr>
            <w:tcW w:type="dxa" w:w="2160"/>
          </w:tcPr>
          <w:p>
            <w:r>
              <w:rPr>
                <w:sz w:val="19"/>
              </w:rPr>
            </w:r>
            <w:r>
              <w:rPr>
                <w:sz w:val="19"/>
              </w:rPr>
              <w:t>to be invited</w:t>
            </w:r>
          </w:p>
        </w:tc>
      </w:tr>
      <w:tr>
        <w:tc>
          <w:tcPr>
            <w:tcW w:type="dxa" w:w="2160"/>
          </w:tcPr>
          <w:p>
            <w:r>
              <w:rPr>
                <w:sz w:val="19"/>
              </w:rPr>
            </w:r>
            <w:r>
              <w:rPr>
                <w:sz w:val="19"/>
              </w:rPr>
              <w:t>14 — Mobile case studies</w:t>
            </w:r>
          </w:p>
        </w:tc>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to be invited</w:t>
            </w:r>
          </w:p>
        </w:tc>
      </w:tr>
      <w:tr>
        <w:tc>
          <w:tcPr>
            <w:tcW w:type="dxa" w:w="2160"/>
          </w:tcPr>
          <w:p>
            <w:r>
              <w:rPr>
                <w:sz w:val="19"/>
              </w:rPr>
            </w:r>
            <w:r>
              <w:rPr>
                <w:sz w:val="19"/>
              </w:rPr>
              <w:t>1, 3, 7</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