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[Tampere University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authors have described this book to me and asked whether I would contribute its treatment of core and rotor losses. I write to support the proposal and to confirm that I intend to take part.</w:t>
      </w:r>
    </w:p>
    <w:p>
      <w:pPr>
        <w:jc w:val="both"/>
      </w:pPr>
      <w:r>
        <w:t>My work is on the modelling and characterisation of soft magnetic materials in electrical machines, including the coupling between magnetic behaviour and mechanical stress and the effects that manufacturing has on both. From that position there is one thing I would want a design book to say plainly, and it is not usually said. A loss model is only valid for the material in the condition in which the model was identified, and the material inside a finished machine is never in that condition. It has been slit or punched or laser-cut, so a large part of its volume lies within a few hundred micrometres of a damaged edge; it has been stacked and then welded, bonded or interlocked; it has been pressed into a frame that holds it in compression; and in a rotor it carries the mechanical stress that the machine's own design has imposed on it. Each of these changes the losses, each of them does so in a way that depends on frequency, and each of them becomes worse at high speed rather than better. Thinner laminations mean more cut edge per unit of volume. Interference fits are tighter because the speed demands it. The stress in a high-speed rotor is of an order that a mains-frequency designer never encounters. The practice of the trade is to answer all of this with a build factor, one number somewhere between 1.1 and 1.5, applied to a model that was identified under none of these conditions. At mains frequency that is a tolerable approximation. In the kilohertz range it is not a correction at all, it is an admission that the quantity is unknown, and the book is right to treat the difference between the datasheet and the built stack as a design quantity rather than as a manufacturing tolerance.</w:t>
      </w:r>
    </w:p>
    <w:p>
      <w:pPr>
        <w:jc w:val="both"/>
      </w:pPr>
      <w:r>
        <w:t>The second reason I think the book is worth writing has to do with how it is organised. Rotor loss at high speed belongs to no single specialism, and this is why it is served so poorly in the literature. The harmonics that cause it are made by the converter and are therefore a power-electronics matter. The mechanism itself, eddy currents in a solid body, in a retaining sleeve, in end rings and in the magnets, is an electromagnetic one, and it is happening inside a sleeve that exists because the mechanical designer required it. Its consequence is a temperature, on the side of the machine that is hardest to cool and impossible to instrument. Four communities each hold a piece of the problem and each publishes in its own venue, so a designer looking for the whole of it finds four partial accounts written on incompatible assumptions. A book in which the converter chapter produces the harmonic spectrum, the loss chapter turns it into watts, and the thermal chapter removes them, all for the same two machines, is the only arrangement in which this can be set out honestly. That structure is a real contribution and not merely a table of contents.</w:t>
      </w:r>
    </w:p>
    <w:p>
      <w:pPr>
        <w:jc w:val="both"/>
      </w:pPr>
      <w:r>
        <w:t>I would add one point in the same direction. The air in the gap of a high-speed machine is both a source of loss and the path by which the rotor is cooled, and these are ordinarily treated by different people using different correlations. Taking both from one flow model, as this book proposes to do, is the correct choice and I have not seen it made in a design text.</w:t>
      </w:r>
    </w:p>
    <w:p>
      <w:pPr>
        <w:jc w:val="both"/>
      </w:pPr>
      <w:r>
        <w:t>Subject to the publishing contract, I intend to take responsibility for the chapter on core, rotor and aerodynamic losses: the breakdown of loss separation above a kilohertz and what replaces it, the soft magnetic materials compared as design choices rather than as datasheet entries, the manufacturing effects that degrade them, measurement and model identification in this frequency range, and on the rotor side the surface and harmonic losses, the eddy currents in sleeves, rings and magnets with the segmentation that limits them, and solid-rotor loss modelling. I would write it with colleagues from my group and, for the aerodynamic and windage sections, with a co-author whose field that is rather than extending my own into it. Everyone who contributes would be named, and I would answer for the coherence of the chapter as a whole.</w:t>
      </w:r>
    </w:p>
    <w:p>
      <w:pPr>
        <w:jc w:val="both"/>
      </w:pPr>
      <w:r>
        <w:t>I have worked on the modelling of electrical machines and magnetic materials for [number] years at [institutions], including [projects to be named here], and would bring that work to the book.</w:t>
      </w:r>
    </w:p>
    <w:p>
      <w:pPr>
        <w:jc w:val="both"/>
      </w:pPr>
      <w:r>
        <w:t>Yours sincerely,</w:t>
      </w:r>
    </w:p>
    <w:p>
      <w:pPr>
        <w:jc w:val="both"/>
      </w:pPr>
      <w:r>
        <w:t>[signature]</w:t>
      </w:r>
    </w:p>
    <w:p>
      <w:pPr>
        <w:jc w:val="both"/>
      </w:pPr>
      <w:r>
        <w:t>Paavo Rasilo</w:t>
      </w:r>
    </w:p>
    <w:p>
      <w:pPr>
        <w:jc w:val="both"/>
      </w:pPr>
      <w:r>
        <w:t>[Position], Tampere University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P. Rasilo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