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When to ask for the letter.</w:t>
      </w:r>
      <w:r>
        <w:t xml:space="preserve"> Where the invitee already knows the plan, from a meeting, a</w:t>
      </w:r>
    </w:p>
    <w:p>
      <w:pPr>
        <w:jc w:val="both"/>
      </w:pPr>
      <w:r>
        <w:t>call, or Juha, ask in the first email and attach the draft: they have the context to judge</w:t>
      </w:r>
    </w:p>
    <w:p>
      <w:pPr>
        <w:jc w:val="both"/>
      </w:pPr>
      <w:r>
        <w:t>it. Where the approach is cold, ask only whether the subject interests them, and send the</w:t>
      </w:r>
    </w:p>
    <w:p>
      <w:pPr>
        <w:jc w:val="both"/>
      </w:pPr>
      <w:r>
        <w:t>draft letter with Chapter 1 and the table of contents once they have said yes. A</w:t>
      </w:r>
    </w:p>
    <w:p>
      <w:pPr>
        <w:jc w:val="both"/>
      </w:pPr>
      <w:r>
        <w:t>pre-written letter from a stranger reads as presumptuous, and it asks someone to endorse a</w:t>
      </w:r>
    </w:p>
    <w:p>
      <w:pPr>
        <w:jc w:val="both"/>
      </w:pPr>
      <w:r>
        <w:t>plan they have not seen. Wrobel's entry below shows the two-step form.</w:t>
      </w:r>
    </w:p>
    <w:p>
      <w:pPr>
        <w:jc w:val="both"/>
      </w:pPr>
      <w:r>
        <w:rPr>
          <w:b/>
        </w:rPr>
        <w:t>Attach to the warm ones:</w:t>
      </w:r>
      <w:r>
        <w:t xml:space="preserve"> the draft letter of support, and nothing else for the moment.</w:t>
      </w:r>
    </w:p>
    <w:p>
      <w:pPr>
        <w:jc w:val="both"/>
      </w:pPr>
      <w:r>
        <w:t>Chapter 1 and the annotated table of contents go to the publisher, not to the invitees,</w:t>
      </w:r>
    </w:p>
    <w:p>
      <w:pPr>
        <w:jc w:val="both"/>
      </w:pPr>
      <w:r>
        <w:t>so each email carries its own description of the invitee's part instead. When those</w:t>
      </w:r>
    </w:p>
    <w:p>
      <w:pPr>
        <w:jc w:val="both"/>
      </w:pPr>
      <w:r>
        <w:t>documents do eventually circulate, delete the Status column from the contributor table</w:t>
      </w:r>
    </w:p>
    <w:p>
      <w:pPr>
        <w:jc w:val="both"/>
      </w:pPr>
      <w:r>
        <w:t>first, so that nobody reads that a colleague is "suggested".</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rPr>
          <w:i/>
        </w:rPr>
        <w:t>He agreed to contribute at the CoE meeting, so this confirms rather than asks.</w:t>
      </w:r>
    </w:p>
    <w:p>
      <w:pPr>
        <w:jc w:val="both"/>
      </w:pPr>
      <w:r>
        <w:t>Hello Jussi,</w:t>
      </w:r>
    </w:p>
    <w:p>
      <w:pPr>
        <w:jc w:val="both"/>
      </w:pPr>
      <w:r>
        <w:t>Thank you again for supporting the book idea at the last CoE meeting and for agreeing to contribute. We are now putting the proposal to Wiley-IEEE Press together with Ilya Petrov and Juha Pyrhönen,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rotor stress and magnet retention, rotordynamics and vibration, and the bearings, lubrication and seals of high-speed rotors. That is three chapters, and we certainly do not expect you to write them alone. We would like you to put the team together as you see fit, from your own group and from your wider network of experts. The bearing chapter in particular needs someone with industrial experience of lubrication, bearing life and seals, which is knowledge none of us has and which would make that chapter the one an industrial reader opens first. Everyone who contributes is named at the head of the chapter. Once the publisher has approved the proposal, we will send you the detailed structure and settle the division of work with you.</w:t>
      </w:r>
    </w:p>
    <w:p>
      <w:pPr>
        <w:jc w:val="both"/>
      </w:pPr>
      <w:r>
        <w:t>Two things would help now. Could you write us a short letter of support? We would send it to the publisher together with the proposal, and we think such letters will make the application considerably stronger. A draft is attached, which you are free to change as you wish. And could you tell us whom you would bring in, whether from your group or from outside it? Naming them in the proposal would strengthen it further.</w:t>
      </w:r>
    </w:p>
    <w:p>
      <w:pPr>
        <w:jc w:val="both"/>
      </w:pPr>
      <w:r>
        <w:t>Looking forward to hearing from you.</w:t>
      </w:r>
    </w:p>
    <w:p>
      <w:pPr>
        <w:jc w:val="both"/>
      </w:pPr>
      <w:r>
        <w:t>BR, Hüseyin</w:t>
      </w:r>
    </w:p>
    <w:p>
      <w:r>
        <w:br w:type="page"/>
      </w:r>
    </w:p>
    <w:p>
      <w:pPr>
        <w:pStyle w:val="Heading2"/>
      </w:pPr>
      <w:r>
        <w:t>Juha Saari — windage, industrial applications, the compressor case</w:t>
      </w:r>
    </w:p>
    <w:p>
      <w:pPr>
        <w:jc w:val="both"/>
      </w:pPr>
      <w:r>
        <w:t>*He knows Juha Pyrhönen well but has not met Hüseyin, so the introduction comes through</w:t>
      </w:r>
    </w:p>
    <w:p>
      <w:pPr>
        <w:jc w:val="both"/>
      </w:pPr>
      <w:r>
        <w:t>Juha, who should be in copy. Three separate asks, graded so that any one of them can be</w:t>
      </w:r>
    </w:p>
    <w:p>
      <w:pPr>
        <w:jc w:val="both"/>
      </w:pPr>
      <w:r>
        <w:t>accepted alone, and the data question raised as the thing to settle first.*</w:t>
      </w:r>
    </w:p>
    <w:p>
      <w:pPr>
        <w:jc w:val="both"/>
      </w:pPr>
      <w:r>
        <w:t>Dear Juha,</w:t>
      </w:r>
    </w:p>
    <w:p>
      <w:pPr>
        <w:jc w:val="both"/>
      </w:pPr>
      <w:r>
        <w:t xml:space="preserve">Juha Pyrhönen may already have mentioned this to you; if not, let me introduce myself. I am a researcher at LUT University working on high-speed electrical machines, and together with Juha and Ilya Petrov I am preparing a proposal to Wiley-IEEE Press for a book on high-speed machines and drives, written as a companion to </w:t>
      </w:r>
      <w:r>
        <w:rPr>
          <w:i/>
        </w:rPr>
        <w:t>Design of Rotating Electrical Machines</w:t>
      </w:r>
      <w:r>
        <w:t>. Juha is in copy.</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would very much like to have you in it, and there are three places where your work belongs.</w:t>
      </w:r>
    </w:p>
    <w:p>
      <w:pPr>
        <w:jc w:val="both"/>
      </w:pPr>
      <w:r>
        <w:t>The first is the aerodynamic and windage losses of the air gap, in the loss chapter. The correlations the field still uses are yours, and we would much rather have them presented by their author, with the conditions under which they were obtained, than cited by us without them. About six pages.</w:t>
      </w:r>
    </w:p>
    <w:p>
      <w:pPr>
        <w:jc w:val="both"/>
      </w:pPr>
      <w:r>
        <w:t>The second is the industrial side of the applications chapter: the direct-drive transition, the gearless compressors, blowers and ORC units, the subsea and hermetic machines, and the logic by which an architecture is chosen. About fourteen pages.</w:t>
      </w:r>
    </w:p>
    <w:p>
      <w:pPr>
        <w:jc w:val="both"/>
      </w:pPr>
      <w:r>
        <w:t>The third we should discuss before anything else. The book carries two machines through every chapter, one industrial and one mobile, from specification to measured performance. For the industrial one we have a gearless compressor drive in mind, and we would like to know whether such a case could come from your work, and whether [company] would allow the measurements to be published. That machine appears from Chapter 2 onwards, so if it cannot be published we would rather know now and choose differently.</w:t>
      </w:r>
    </w:p>
    <w:p>
      <w:pPr>
        <w:jc w:val="both"/>
      </w:pPr>
      <w:r>
        <w:t>If all three are too much, any one of them would be very welcome. The first is the one nobody else can write.</w:t>
      </w:r>
    </w:p>
    <w:p>
      <w:pPr>
        <w:jc w:val="both"/>
      </w:pPr>
      <w:r>
        <w:t>Could you also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Jouni Ikäheimo — solid-rotor machines, manufacture, qualification, photographs</w:t>
      </w:r>
    </w:p>
    <w:p>
      <w:pPr>
        <w:jc w:val="both"/>
      </w:pPr>
      <w:r>
        <w:t>*Juha has already pitched the book to him and he has agreed, so this is short: it names</w:t>
      </w:r>
    </w:p>
    <w:p>
      <w:pPr>
        <w:jc w:val="both"/>
      </w:pPr>
      <w:r>
        <w:t>the sections, separates "material" from "writing", and raises the ABB clearance.*</w:t>
      </w:r>
    </w:p>
    <w:p>
      <w:pPr>
        <w:jc w:val="both"/>
      </w:pPr>
      <w:r>
        <w:t>Hello Jouni,</w:t>
      </w:r>
    </w:p>
    <w:p>
      <w:pPr>
        <w:jc w:val="both"/>
      </w:pPr>
      <w:r>
        <w:t>Thank you for the quick and positive reply to Juha. Let me be concrete about the part we hope you will take, though we are open to anything else you would rather do instead.</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had three places in mind. In the chapter on machine topologies, the sections on induction machines, which the book treats as the industrial workhorse and which are far better written from the manufacturing side than from the literature. In the industrial case-study chapter, manufacture and tolerance control, and qualification against the international standards, both from practice rather than from the standards themselves. And the photographs and machine material you might provide, which we would use across the whole book (competing titles are illustrated almost entirely with line drawings, so real machines would set ours apart).</w:t>
      </w:r>
    </w:p>
    <w:p>
      <w:pPr>
        <w:jc w:val="both"/>
      </w:pPr>
      <w:r>
        <w:t>You offered material and a contribution both, and it would help to know which of the two you want to commit to. It would also help to know early whether ABB would allow the photographs, and any data, to be published.</w:t>
      </w:r>
    </w:p>
    <w:p>
      <w:pPr>
        <w:jc w:val="both"/>
      </w:pPr>
      <w:r>
        <w:t>Could you also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Rafal Wrobel — cooling architectures (cold approach)</w:t>
      </w:r>
    </w:p>
    <w:p>
      <w:pPr>
        <w:jc w:val="both"/>
      </w:pPr>
      <w:r>
        <w:t>*The first invitation to someone with no prior connection, so it is more formal, it says</w:t>
      </w:r>
    </w:p>
    <w:p>
      <w:pPr>
        <w:jc w:val="both"/>
      </w:pPr>
      <w:r>
        <w:t>who is writing and who the co-authors are before it asks for anything, and it explains</w:t>
      </w:r>
    </w:p>
    <w:p>
      <w:pPr>
        <w:jc w:val="both"/>
      </w:pPr>
      <w:r>
        <w:t>why him specifically rather than why the book is good. Suggested subject line: "Wiley</w:t>
      </w:r>
    </w:p>
    <w:p>
      <w:pPr>
        <w:jc w:val="both"/>
      </w:pPr>
      <w:r>
        <w:t>book proposal on high-speed machines — invitation to contribute".*</w:t>
      </w:r>
    </w:p>
    <w:p>
      <w:pPr>
        <w:jc w:val="both"/>
      </w:pPr>
      <w:r>
        <w:t>*Sent in two steps. The first email asks only whether the subject interests him; the</w:t>
      </w:r>
    </w:p>
    <w:p>
      <w:pPr>
        <w:jc w:val="both"/>
      </w:pPr>
      <w:r>
        <w:t>letter of support is not mentioned and nothing is attached. The second follows once he</w:t>
      </w:r>
    </w:p>
    <w:p>
      <w:pPr>
        <w:jc w:val="both"/>
      </w:pPr>
      <w:r>
        <w:t>has said yes. A pre-written letter arriving from a stranger is easy to read as</w:t>
      </w:r>
    </w:p>
    <w:p>
      <w:pPr>
        <w:jc w:val="both"/>
      </w:pPr>
      <w:r>
        <w:t>presumptuous, and it also asks him to endorse a plan he has not yet seen.*</w:t>
      </w:r>
    </w:p>
    <w:p>
      <w:pPr>
        <w:pStyle w:val="Heading3"/>
      </w:pPr>
      <w:r>
        <w:t>First email — is the subject of interest?</w:t>
      </w:r>
    </w:p>
    <w:p>
      <w:pPr>
        <w:jc w:val="both"/>
      </w:pPr>
      <w:r>
        <w:t>Dear Professor Wrobel,</w:t>
      </w:r>
    </w:p>
    <w:p>
      <w:pPr>
        <w:jc w:val="both"/>
      </w:pPr>
      <w:r>
        <w:t xml:space="preserve">I am a researcher at LUT University, working on high-speed electrical machines with Ilya Petrov and Juha Pyrhönen. The three of us are preparing a proposal to Wiley-IEEE Press for a book on high-speed electrical machines and drives, written as a companion to </w:t>
      </w:r>
      <w:r>
        <w:rPr>
          <w:i/>
        </w:rPr>
        <w:t>Design of Rotating Electrical Machines</w:t>
      </w:r>
      <w:r>
        <w:t>.</w:t>
      </w:r>
    </w:p>
    <w:p>
      <w:pPr>
        <w:jc w:val="both"/>
      </w:pPr>
      <w:r>
        <w:t>I had hoped to raise this with you in person at ICEM in Madeira next week, all the more so after seeing that you are giving a tutorial on this subject, but personal reasons prevent me from travelling. Rather than let it wait for the next occasion, I am writing instead.</w:t>
      </w:r>
    </w:p>
    <w:p>
      <w:pPr>
        <w:jc w:val="both"/>
      </w:pPr>
      <w:r>
        <w:t>The book is built on the argument that high-speed design runs the opposite way from conventional practice: the mechanical and rotordynamic limits fix the rotor first, the converter fixes the admissible pole number, and the electromagnetic design is fitted into what remains. One consequence is that thermal management has a chapter of its own rather than a section, because at high speed the loss density rises while the surface available to reject it shrinks, and the rotor sits behind a retaining sleeve that the mechanical design requires and that also insulates it.</w:t>
      </w:r>
    </w:p>
    <w:p>
      <w:pPr>
        <w:jc w:val="both"/>
      </w:pPr>
      <w:r>
        <w:t>What we have in mind for you is the cooling architecture: the heat paths and thermal resistances of the winding, stator cooling from water jackets through in-slot to direct winding cooling, and the rotor side including the sleeve as a thermal barrier. About twelve pages. It is the part of the chapter that dates fastest, and we would much rather have it written by someone working on it now than assembled from the literature.</w:t>
      </w:r>
    </w:p>
    <w:p>
      <w:pPr>
        <w:jc w:val="both"/>
      </w:pPr>
      <w:r>
        <w:t>Before going any further I would simply like to know whether the subject interests you. Nothing is binding at this stage: the publisher has not yet seen the proposal, and no writing would begin before a contract is signed. If it does interest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after he has said yes</w:t>
      </w:r>
    </w:p>
    <w:p>
      <w:pPr>
        <w:jc w:val="both"/>
      </w:pPr>
      <w:r>
        <w:rPr>
          <w:i/>
        </w:rPr>
        <w:t>Attach Chapter 1, the annotated table of contents, and the draft letter of support.</w:t>
      </w:r>
    </w:p>
    <w:p>
      <w:pPr>
        <w:jc w:val="both"/>
      </w:pPr>
      <w:r>
        <w:t>Dear Professor Wrobel,</w:t>
      </w:r>
    </w:p>
    <w:p>
      <w:pPr>
        <w:jc w:val="both"/>
      </w:pPr>
      <w:r>
        <w:t>Thank you, I am glad the subject interests you. I attach the completed introductory chapter and the annotated table of contents so that you can see where your sections would sit: §10.2 to §10.4 of the thermal chapter are the ones we have in mind, and Chapter 1 will show you the argument they serve.</w:t>
      </w:r>
    </w:p>
    <w:p>
      <w:pPr>
        <w:jc w:val="both"/>
      </w:pPr>
      <w:r>
        <w:t>One further request, if you are willing. We are collecting short letters of support to send to Wiley together with the proposal. Letters from the named contributors carry real weight with a publisher's reviewers, because they show that the people listed exist, have agreed, and see the need for the book from their own field. I attach a draft to show what such a letter usually contains; please change it as you see fit, or write something quite different if you would rather.</w:t>
      </w:r>
    </w:p>
    <w:p>
      <w:pPr>
        <w:jc w:val="both"/>
      </w:pPr>
      <w:r>
        <w:t>I would of course be glad to answer any questions about the scope, or to arrange a call.</w:t>
      </w:r>
    </w:p>
    <w:p>
      <w:pPr>
        <w:jc w:val="both"/>
      </w:pPr>
      <w:r>
        <w:t>Yours sincerely,</w:t>
      </w:r>
    </w:p>
    <w:p>
      <w:pPr>
        <w:jc w:val="both"/>
      </w:pPr>
      <w:r>
        <w:t>Hüseyin Canseven</w:t>
      </w:r>
    </w:p>
    <w:p>
      <w:pPr>
        <w:jc w:val="both"/>
      </w:pPr>
      <w:r>
        <w:t>LUT University</w:t>
      </w:r>
    </w:p>
    <w:p>
      <w:r>
        <w:br w:type="page"/>
      </w:r>
    </w:p>
    <w:p>
      <w:pPr>
        <w:pStyle w:val="Heading2"/>
      </w:pPr>
      <w:r>
        <w:t>Janne Nerg — thermal management and cooling</w:t>
      </w:r>
    </w:p>
    <w:p>
      <w:pPr>
        <w:jc w:val="both"/>
      </w:pPr>
      <w:r>
        <w:t>Hello Janne,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thermal management and cooling. The thermal problem turns around at high speed: the losses concentrate while the surface that has to reject them shrinks, and the rotor, which is the easy side in an ordinary machine, sits behind a retaining sleeve that the mechanical design requires and that also insulates it. The part we would like to ask you for is the modelling half: lumped-parameter thermal networks for machines of this loss density, with the contact resistances and the calibration that make them trustworthy and the point at which conjugate heat transfer becomes necessary; the transient behaviour under overload and drive cycles, which is how mobile machines are actually rated; and thermal measurement and validation on a rotating rotor. We would also like to work with you on the thermal design of the two machines that run through the whole book. That is about eight pages of a twenty-eight page chapter. The cooling architectures and the air-gap convection are being written by others, and one of us owns the chapter, so your part stays within the modelling. Everyone who contributes is named at the head of the chapter.</w:t>
      </w:r>
    </w:p>
    <w:p>
      <w:pPr>
        <w:jc w:val="both"/>
      </w:pPr>
      <w:r>
        <w:t>If you would like to join, 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Pasi Peltoniemi — the drive</w:t>
      </w:r>
    </w:p>
    <w:p>
      <w:pPr>
        <w:jc w:val="both"/>
      </w:pPr>
      <w:r>
        <w:rPr>
          <w:i/>
        </w:rPr>
        <w:t>He has already agreed to contribute, so this confirms rather than asks. Sent version.</w:t>
      </w:r>
    </w:p>
    <w:p>
      <w:pPr>
        <w:jc w:val="both"/>
      </w:pPr>
      <w:r>
        <w:t>Hello Pasi,</w:t>
      </w:r>
    </w:p>
    <w:p>
      <w:pPr>
        <w:jc w:val="both"/>
      </w:pPr>
      <w:r>
        <w:t>I have told you about the book idea on high-speed machines and drives and you agreed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enabler that decides which machines can be built at all, so this chapter carries a good part of the argument: the converter interface, silicon against SiC and GaN, DC-link voltage and du/dt issues under fast switching, and EMC. We do not expect you to write all of it yourself. You are free to share the duties with some of the power electronics people in our lab or from your wider network; we could invite [Freede], for instance, to contribute to this chapter.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*A colleague, but nobody has raised the book with him yet. A word in person first would</w:t>
      </w:r>
    </w:p>
    <w:p>
      <w:pPr>
        <w:jc w:val="both"/>
      </w:pPr>
      <w:r>
        <w:t>be more natural than a cold mail, with this then recording what was agreed.*</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part would be the measurement side, in two places. In the chapter on the drive, the converter harmonics and the rotor heating they cause, which matters far more at high speed than at mains frequency because those losses land in a rotor that the air gap and the retaining sleeve keep thermally isolated. And in the industrial case-study chapter, the test rig, the instrumentation and the loss segregation of a high-speed machine, where the electrical methods run out and calorimetry has to take over. We would like that one written in enough detail that a reader could repeat it, because most books state results without saying how they were obtained. About eleven pages between the two. Everyone who contributes is named at the head of the chapter, and once the publisher has approved the proposal we will send you the detailed structure.</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Marko Hinkkanen or Olli Pyrhönen — control at low pulse ratios</w:t>
      </w:r>
    </w:p>
    <w:p>
      <w:pPr>
        <w:jc w:val="both"/>
      </w:pPr>
      <w:r>
        <w:rPr>
          <w:i/>
        </w:rPr>
        <w:t>Send to one of the two, not both.</w:t>
      </w:r>
    </w:p>
    <w:p>
      <w:pPr>
        <w:jc w:val="both"/>
      </w:pPr>
      <w:r>
        <w:t>Hello [Marko],</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the control part of the drive chapter: what changes when the fundamental frequency is so high that the pulse ratio falls to ten or below. That means current regulation and overmodulation at low pulse ratios, position sensing and sensorless operation at kilohertz fundamental frequency, and run-up through the critical speeds together with field weakening and protection. The converter part of the same chapter would be written by Pasi Peltoniemi.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Aerospace contributor — high-specific-power generator case study</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book closes with case studies, and one of them should be an aerospace generator, as the extreme of the mass-limited design that runs through the whole text: the specification, the design decisions that differ from those of a traction machine, and the test and qualification programme. Measured data would make the section, but a design study with representative numbers would serve if nothing can be released.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